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183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53"/>
        <w:gridCol w:w="5530"/>
      </w:tblGrid>
      <w:tr w:rsidR="00C22DD7" w:rsidRPr="00FC1321" w14:paraId="044BA450" w14:textId="77777777" w:rsidTr="00D271F3">
        <w:tc>
          <w:tcPr>
            <w:tcW w:w="5653" w:type="dxa"/>
          </w:tcPr>
          <w:p w14:paraId="058CD583" w14:textId="30CF0671" w:rsidR="00C22DD7" w:rsidRPr="00FC1321" w:rsidRDefault="00C22DD7" w:rsidP="00BB15E8">
            <w:pPr>
              <w:rPr>
                <w:rFonts w:cs="Arial"/>
                <w:sz w:val="20"/>
                <w:szCs w:val="20"/>
              </w:rPr>
            </w:pPr>
            <w:r w:rsidRPr="00FC1321">
              <w:rPr>
                <w:rFonts w:cs="Arial"/>
                <w:b/>
                <w:sz w:val="20"/>
                <w:szCs w:val="20"/>
              </w:rPr>
              <w:t>SUBJECT:</w:t>
            </w:r>
            <w:r w:rsidRPr="00FC1321">
              <w:rPr>
                <w:rFonts w:cs="Arial"/>
                <w:sz w:val="20"/>
                <w:szCs w:val="20"/>
              </w:rPr>
              <w:t xml:space="preserve">  </w:t>
            </w:r>
            <w:r w:rsidR="002A27AF" w:rsidRPr="002A27AF">
              <w:rPr>
                <w:rFonts w:cs="Arial"/>
                <w:sz w:val="20"/>
                <w:szCs w:val="20"/>
              </w:rPr>
              <w:t xml:space="preserve">MyOptionsRI LTSS Self Assessment </w:t>
            </w:r>
            <w:r w:rsidR="00DE7C8D">
              <w:rPr>
                <w:rFonts w:cs="Arial"/>
                <w:sz w:val="20"/>
                <w:szCs w:val="20"/>
              </w:rPr>
              <w:t>Referral Sheet</w:t>
            </w:r>
          </w:p>
        </w:tc>
        <w:tc>
          <w:tcPr>
            <w:tcW w:w="5530" w:type="dxa"/>
          </w:tcPr>
          <w:p w14:paraId="06E7C3B5" w14:textId="3FE68051" w:rsidR="008B67DD" w:rsidRPr="008B67DD" w:rsidRDefault="00A52AFC" w:rsidP="00D271F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DATE: </w:t>
            </w:r>
            <w:r w:rsidR="00DE7C8D">
              <w:rPr>
                <w:rFonts w:cs="Arial"/>
                <w:sz w:val="20"/>
                <w:szCs w:val="20"/>
              </w:rPr>
              <w:t>7</w:t>
            </w:r>
            <w:r w:rsidR="008B67DD" w:rsidRPr="008B67DD">
              <w:rPr>
                <w:rFonts w:cs="Arial"/>
                <w:sz w:val="20"/>
                <w:szCs w:val="20"/>
              </w:rPr>
              <w:t>/</w:t>
            </w:r>
            <w:r w:rsidR="00DE7C8D">
              <w:rPr>
                <w:rFonts w:cs="Arial"/>
                <w:sz w:val="20"/>
                <w:szCs w:val="20"/>
              </w:rPr>
              <w:t>28</w:t>
            </w:r>
            <w:r w:rsidR="008B67DD" w:rsidRPr="008B67DD">
              <w:rPr>
                <w:rFonts w:cs="Arial"/>
                <w:sz w:val="20"/>
                <w:szCs w:val="20"/>
              </w:rPr>
              <w:t>/20</w:t>
            </w:r>
            <w:r w:rsidR="00D3057B">
              <w:rPr>
                <w:rFonts w:cs="Arial"/>
                <w:sz w:val="20"/>
                <w:szCs w:val="20"/>
              </w:rPr>
              <w:t>21</w:t>
            </w:r>
          </w:p>
        </w:tc>
      </w:tr>
      <w:tr w:rsidR="00C22DD7" w:rsidRPr="00FC1321" w14:paraId="16B9E6BD" w14:textId="77777777" w:rsidTr="00D271F3">
        <w:tc>
          <w:tcPr>
            <w:tcW w:w="5653" w:type="dxa"/>
            <w:tcBorders>
              <w:bottom w:val="single" w:sz="4" w:space="0" w:color="auto"/>
            </w:tcBorders>
          </w:tcPr>
          <w:p w14:paraId="64EB5552" w14:textId="2C02BAEF" w:rsidR="00C22DD7" w:rsidRPr="00FC1321" w:rsidRDefault="00C22DD7" w:rsidP="007C5A65">
            <w:pPr>
              <w:rPr>
                <w:rFonts w:cs="Arial"/>
                <w:b/>
                <w:sz w:val="20"/>
                <w:szCs w:val="20"/>
              </w:rPr>
            </w:pPr>
            <w:r w:rsidRPr="00FC1321">
              <w:rPr>
                <w:rFonts w:cs="Arial"/>
                <w:b/>
                <w:sz w:val="20"/>
                <w:szCs w:val="20"/>
              </w:rPr>
              <w:t>TARGET AUDIENCE:</w:t>
            </w:r>
            <w:r w:rsidRPr="00FC1321">
              <w:rPr>
                <w:rFonts w:cs="Arial"/>
                <w:sz w:val="20"/>
                <w:szCs w:val="20"/>
              </w:rPr>
              <w:t xml:space="preserve"> </w:t>
            </w:r>
            <w:r w:rsidR="00DE7C8D">
              <w:rPr>
                <w:rFonts w:cs="Arial"/>
                <w:sz w:val="20"/>
                <w:szCs w:val="20"/>
              </w:rPr>
              <w:t>MyOptionsRI Manager</w:t>
            </w:r>
            <w:r w:rsidR="00CF69A1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530" w:type="dxa"/>
          </w:tcPr>
          <w:p w14:paraId="333516D6" w14:textId="7E5AF759" w:rsidR="003E0560" w:rsidRPr="00BB15E8" w:rsidRDefault="00A52AFC" w:rsidP="003E0560">
            <w:pPr>
              <w:rPr>
                <w:rFonts w:cs="Arial"/>
                <w:sz w:val="20"/>
                <w:szCs w:val="20"/>
              </w:rPr>
            </w:pPr>
            <w:r w:rsidRPr="00FC1321">
              <w:rPr>
                <w:rFonts w:cs="Arial"/>
                <w:b/>
                <w:sz w:val="20"/>
                <w:szCs w:val="20"/>
              </w:rPr>
              <w:t>REFERENCE NUMBER: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23561D">
              <w:rPr>
                <w:rFonts w:cs="Arial"/>
                <w:sz w:val="20"/>
                <w:szCs w:val="20"/>
              </w:rPr>
              <w:t>03</w:t>
            </w:r>
          </w:p>
        </w:tc>
      </w:tr>
      <w:tr w:rsidR="00C22DD7" w:rsidRPr="00FC1321" w14:paraId="0AC64BE2" w14:textId="77777777" w:rsidTr="00D271F3">
        <w:tc>
          <w:tcPr>
            <w:tcW w:w="5653" w:type="dxa"/>
            <w:tcBorders>
              <w:bottom w:val="single" w:sz="4" w:space="0" w:color="auto"/>
              <w:right w:val="single" w:sz="4" w:space="0" w:color="auto"/>
            </w:tcBorders>
          </w:tcPr>
          <w:p w14:paraId="74D58FB6" w14:textId="024B5654" w:rsidR="00C22DD7" w:rsidRPr="00FC1321" w:rsidRDefault="008B6DD4" w:rsidP="00D271F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TYPE: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71389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7D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722B5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22DD7" w:rsidRPr="00FC1321">
              <w:rPr>
                <w:rFonts w:cs="Arial"/>
                <w:b/>
                <w:sz w:val="20"/>
                <w:szCs w:val="20"/>
              </w:rPr>
              <w:t xml:space="preserve">NEW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13649415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7D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="00E722B5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REVISIONS</w:t>
            </w:r>
            <w:r w:rsidR="00541C49">
              <w:rPr>
                <w:rFonts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530" w:type="dxa"/>
            <w:tcBorders>
              <w:left w:val="single" w:sz="4" w:space="0" w:color="auto"/>
            </w:tcBorders>
          </w:tcPr>
          <w:p w14:paraId="3FF73C04" w14:textId="32F14F05" w:rsidR="00C22DD7" w:rsidRPr="00FC1321" w:rsidRDefault="008B6DD4" w:rsidP="00D271F3">
            <w:pPr>
              <w:rPr>
                <w:rFonts w:cs="Arial"/>
                <w:b/>
                <w:sz w:val="20"/>
                <w:szCs w:val="20"/>
              </w:rPr>
            </w:pPr>
            <w:r w:rsidRPr="00FC1321">
              <w:rPr>
                <w:rFonts w:cs="Arial"/>
                <w:b/>
                <w:sz w:val="20"/>
                <w:szCs w:val="20"/>
              </w:rPr>
              <w:t>REVISION DATE:</w:t>
            </w:r>
            <w:r w:rsidR="00E11CA7">
              <w:rPr>
                <w:rFonts w:cs="Arial"/>
                <w:b/>
                <w:sz w:val="20"/>
                <w:szCs w:val="20"/>
              </w:rPr>
              <w:t xml:space="preserve"> </w:t>
            </w:r>
            <w:r w:rsidR="0023561D">
              <w:rPr>
                <w:rFonts w:cs="Arial"/>
                <w:bCs/>
                <w:sz w:val="20"/>
                <w:szCs w:val="20"/>
              </w:rPr>
              <w:t>1/10/22</w:t>
            </w:r>
          </w:p>
        </w:tc>
      </w:tr>
      <w:tr w:rsidR="00C22DD7" w:rsidRPr="00FC1321" w14:paraId="36611B65" w14:textId="77777777" w:rsidTr="00E31F86">
        <w:trPr>
          <w:trHeight w:val="557"/>
        </w:trPr>
        <w:tc>
          <w:tcPr>
            <w:tcW w:w="11183" w:type="dxa"/>
            <w:gridSpan w:val="2"/>
          </w:tcPr>
          <w:p w14:paraId="7459DC30" w14:textId="55AD4933" w:rsidR="00C22DD7" w:rsidRPr="008B6DD4" w:rsidRDefault="00C22DD7" w:rsidP="00BB15E8">
            <w:pPr>
              <w:rPr>
                <w:rFonts w:cs="Arial"/>
                <w:sz w:val="20"/>
                <w:szCs w:val="20"/>
              </w:rPr>
            </w:pPr>
            <w:r w:rsidRPr="00FC1321">
              <w:rPr>
                <w:rFonts w:cs="Arial"/>
                <w:b/>
                <w:sz w:val="20"/>
                <w:szCs w:val="20"/>
              </w:rPr>
              <w:t xml:space="preserve">PURPOSE:  </w:t>
            </w:r>
            <w:r w:rsidR="00E31F86" w:rsidRPr="00E722B5">
              <w:rPr>
                <w:rFonts w:cs="Arial"/>
                <w:sz w:val="20"/>
                <w:szCs w:val="20"/>
              </w:rPr>
              <w:t xml:space="preserve">Provide guidance to </w:t>
            </w:r>
            <w:r w:rsidR="00DE7C8D">
              <w:rPr>
                <w:rFonts w:cs="Arial"/>
                <w:sz w:val="20"/>
                <w:szCs w:val="20"/>
              </w:rPr>
              <w:t>the MyOptionsRI Manager regarding referral</w:t>
            </w:r>
            <w:r w:rsidR="002A27AF">
              <w:rPr>
                <w:rFonts w:cs="Arial"/>
                <w:sz w:val="20"/>
                <w:szCs w:val="20"/>
              </w:rPr>
              <w:t>s</w:t>
            </w:r>
            <w:r w:rsidR="00DE7C8D">
              <w:rPr>
                <w:rFonts w:cs="Arial"/>
                <w:sz w:val="20"/>
                <w:szCs w:val="20"/>
              </w:rPr>
              <w:t xml:space="preserve"> after an individual completes the </w:t>
            </w:r>
            <w:r w:rsidR="002A27AF" w:rsidRPr="002A27AF">
              <w:rPr>
                <w:rFonts w:cs="Arial"/>
                <w:sz w:val="20"/>
                <w:szCs w:val="20"/>
              </w:rPr>
              <w:t>MyOptionsRI LTSS Self Assessment</w:t>
            </w:r>
            <w:r w:rsidR="00DE7C8D">
              <w:rPr>
                <w:rFonts w:cs="Arial"/>
                <w:sz w:val="20"/>
                <w:szCs w:val="20"/>
              </w:rPr>
              <w:t xml:space="preserve">. </w:t>
            </w:r>
          </w:p>
        </w:tc>
      </w:tr>
      <w:tr w:rsidR="00C22DD7" w:rsidRPr="00FC1321" w14:paraId="3C640B99" w14:textId="77777777" w:rsidTr="00A52AFC">
        <w:trPr>
          <w:trHeight w:val="1025"/>
        </w:trPr>
        <w:tc>
          <w:tcPr>
            <w:tcW w:w="11183" w:type="dxa"/>
            <w:gridSpan w:val="2"/>
          </w:tcPr>
          <w:p w14:paraId="4664B234" w14:textId="77777777" w:rsidR="00C22DD7" w:rsidRPr="00FC1321" w:rsidRDefault="00C22DD7" w:rsidP="00D271F3">
            <w:pPr>
              <w:rPr>
                <w:rFonts w:cs="Arial"/>
                <w:b/>
                <w:sz w:val="20"/>
                <w:szCs w:val="20"/>
              </w:rPr>
            </w:pPr>
            <w:r w:rsidRPr="00FC1321">
              <w:rPr>
                <w:rFonts w:cs="Arial"/>
                <w:b/>
                <w:sz w:val="20"/>
                <w:szCs w:val="20"/>
              </w:rPr>
              <w:t>CHANGES SINCE LAST REVISION:</w:t>
            </w:r>
          </w:p>
          <w:p w14:paraId="08D37A85" w14:textId="187177A8" w:rsidR="0023561D" w:rsidRDefault="0023561D" w:rsidP="00164AE6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1/10/22: Refined process on self-assessment referral by adding to check in and close call prior to referral</w:t>
            </w:r>
          </w:p>
          <w:p w14:paraId="4AFA7EE1" w14:textId="6E713A38" w:rsidR="00164AE6" w:rsidRPr="00CB5FFB" w:rsidRDefault="00164AE6" w:rsidP="00164AE6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10/26/21: Defined the role of PCOC Counselors as counselors participating as PCOC MyOptions Advisors.  All references to PCOC Counselors changed to MyOptions Advisors.</w:t>
            </w:r>
          </w:p>
          <w:p w14:paraId="6EBBF39C" w14:textId="77777777" w:rsidR="007E6FE5" w:rsidRDefault="007E6FE5" w:rsidP="00D271F3">
            <w:pPr>
              <w:rPr>
                <w:rFonts w:cs="Arial"/>
                <w:b/>
                <w:sz w:val="20"/>
                <w:szCs w:val="20"/>
              </w:rPr>
            </w:pPr>
          </w:p>
          <w:p w14:paraId="3B7D90B9" w14:textId="77777777" w:rsidR="00C22DD7" w:rsidRPr="00FC1321" w:rsidRDefault="00C22DD7" w:rsidP="00D271F3">
            <w:pPr>
              <w:rPr>
                <w:rFonts w:cs="Arial"/>
                <w:b/>
                <w:sz w:val="20"/>
                <w:szCs w:val="20"/>
              </w:rPr>
            </w:pPr>
            <w:r w:rsidRPr="00FC1321">
              <w:rPr>
                <w:rFonts w:cs="Arial"/>
                <w:b/>
                <w:sz w:val="20"/>
                <w:szCs w:val="20"/>
              </w:rPr>
              <w:t>DOCUMENTS/ASSOCIATED RESOURCES:</w:t>
            </w:r>
          </w:p>
          <w:p w14:paraId="0CAF88F5" w14:textId="32410C72" w:rsidR="00DE7C8D" w:rsidRDefault="00DE7C8D" w:rsidP="00A52AF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 w:rsidRPr="00DE7C8D">
              <w:rPr>
                <w:rFonts w:cs="Arial"/>
                <w:sz w:val="20"/>
                <w:szCs w:val="20"/>
              </w:rPr>
              <w:t>Referrals to NHTP and OSCIL</w:t>
            </w:r>
            <w:r>
              <w:rPr>
                <w:rFonts w:cs="Arial"/>
                <w:sz w:val="20"/>
                <w:szCs w:val="20"/>
              </w:rPr>
              <w:t>.docx</w:t>
            </w:r>
          </w:p>
          <w:p w14:paraId="69D88819" w14:textId="6C5B65BF" w:rsidR="001B6867" w:rsidRPr="00E11CA7" w:rsidRDefault="00843BA1" w:rsidP="00A52AFC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WellSky training guide</w:t>
            </w:r>
            <w:r w:rsidR="00DE7C8D">
              <w:rPr>
                <w:rFonts w:cs="Arial"/>
                <w:sz w:val="20"/>
                <w:szCs w:val="20"/>
              </w:rPr>
              <w:t>.docx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32EA27F6" w14:textId="77777777" w:rsidR="007E6FE5" w:rsidRDefault="007E6FE5" w:rsidP="0008535B">
            <w:pPr>
              <w:rPr>
                <w:rFonts w:cs="Arial"/>
                <w:b/>
                <w:sz w:val="20"/>
                <w:szCs w:val="20"/>
              </w:rPr>
            </w:pPr>
          </w:p>
          <w:p w14:paraId="4B9F0335" w14:textId="27D6D36B" w:rsidR="00E11CA7" w:rsidRPr="00D3057B" w:rsidRDefault="007E6FE5" w:rsidP="0008535B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ATTACHMENTS:</w:t>
            </w:r>
            <w:r w:rsidR="00D3057B">
              <w:rPr>
                <w:rFonts w:cs="Arial"/>
                <w:b/>
                <w:sz w:val="20"/>
                <w:szCs w:val="20"/>
              </w:rPr>
              <w:t xml:space="preserve"> </w:t>
            </w:r>
            <w:r w:rsidR="00D3057B" w:rsidRPr="00D3057B">
              <w:rPr>
                <w:rFonts w:cs="Arial"/>
                <w:bCs/>
                <w:sz w:val="20"/>
                <w:szCs w:val="20"/>
              </w:rPr>
              <w:t>N/A</w:t>
            </w:r>
          </w:p>
          <w:p w14:paraId="5F182583" w14:textId="77777777" w:rsidR="007E6FE5" w:rsidRPr="00E11CA7" w:rsidRDefault="007E6FE5" w:rsidP="0008535B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8735350" w14:textId="77777777" w:rsidR="00D3057B" w:rsidRDefault="00D3057B" w:rsidP="00D3057B">
      <w:pPr>
        <w:rPr>
          <w:rFonts w:cs="Arial"/>
          <w:b/>
          <w:sz w:val="20"/>
          <w:szCs w:val="20"/>
          <w:u w:val="single"/>
        </w:rPr>
      </w:pPr>
    </w:p>
    <w:p w14:paraId="06DFE82E" w14:textId="66B10CC8" w:rsidR="00DE7C8D" w:rsidRDefault="00DB67FC" w:rsidP="00DB67FC">
      <w:pPr>
        <w:ind w:left="-540"/>
        <w:rPr>
          <w:rFonts w:cs="Arial"/>
          <w:sz w:val="22"/>
          <w:szCs w:val="22"/>
        </w:rPr>
      </w:pPr>
      <w:r w:rsidRPr="00B06E24">
        <w:rPr>
          <w:rFonts w:cs="Arial"/>
          <w:b/>
          <w:bCs/>
          <w:sz w:val="22"/>
          <w:szCs w:val="22"/>
        </w:rPr>
        <w:t>Overview</w:t>
      </w:r>
      <w:r w:rsidRPr="00B06E24">
        <w:rPr>
          <w:rFonts w:cs="Arial"/>
          <w:sz w:val="22"/>
          <w:szCs w:val="22"/>
        </w:rPr>
        <w:t>:</w:t>
      </w:r>
      <w:r w:rsidRPr="002B36ED">
        <w:rPr>
          <w:rFonts w:cs="Arial"/>
          <w:sz w:val="22"/>
          <w:szCs w:val="22"/>
        </w:rPr>
        <w:t xml:space="preserve"> </w:t>
      </w:r>
      <w:r w:rsidR="00DE7C8D">
        <w:rPr>
          <w:rFonts w:cs="Arial"/>
          <w:sz w:val="22"/>
          <w:szCs w:val="22"/>
        </w:rPr>
        <w:t xml:space="preserve">The MyOptionsRI manager should use the table below </w:t>
      </w:r>
      <w:r w:rsidR="002A27AF">
        <w:rPr>
          <w:rFonts w:cs="Arial"/>
          <w:sz w:val="22"/>
          <w:szCs w:val="22"/>
        </w:rPr>
        <w:t>when</w:t>
      </w:r>
      <w:r w:rsidR="00DE7C8D">
        <w:rPr>
          <w:rFonts w:cs="Arial"/>
          <w:sz w:val="22"/>
          <w:szCs w:val="22"/>
        </w:rPr>
        <w:t xml:space="preserve"> making referrals to other state agencies or organizations</w:t>
      </w:r>
      <w:r w:rsidR="002A27AF">
        <w:rPr>
          <w:rFonts w:cs="Arial"/>
          <w:sz w:val="22"/>
          <w:szCs w:val="22"/>
        </w:rPr>
        <w:t xml:space="preserve"> to provide PCOC or follow-up</w:t>
      </w:r>
      <w:r w:rsidR="00DE7C8D">
        <w:rPr>
          <w:rFonts w:cs="Arial"/>
          <w:sz w:val="22"/>
          <w:szCs w:val="22"/>
        </w:rPr>
        <w:t xml:space="preserve">. </w:t>
      </w:r>
      <w:r w:rsidR="002A27AF">
        <w:rPr>
          <w:rFonts w:cs="Arial"/>
          <w:sz w:val="22"/>
          <w:szCs w:val="22"/>
        </w:rPr>
        <w:t xml:space="preserve">The MyOptionsRI manager should only make one referral. If multiple organizations meet the requirements for a referral, priority should be given from left to right in the table below (e.g., if both the NHTP and DHS meet the referral criteria, the referral should go to the NHTP). </w:t>
      </w:r>
      <w:r w:rsidR="00DE7C8D">
        <w:rPr>
          <w:rFonts w:cs="Arial"/>
          <w:sz w:val="22"/>
          <w:szCs w:val="22"/>
        </w:rPr>
        <w:t xml:space="preserve">There are two different approaches </w:t>
      </w:r>
      <w:r w:rsidR="00B06E24">
        <w:rPr>
          <w:rFonts w:cs="Arial"/>
          <w:sz w:val="22"/>
          <w:szCs w:val="22"/>
        </w:rPr>
        <w:t xml:space="preserve">when </w:t>
      </w:r>
      <w:r w:rsidR="00DE7C8D">
        <w:rPr>
          <w:rFonts w:cs="Arial"/>
          <w:sz w:val="22"/>
          <w:szCs w:val="22"/>
        </w:rPr>
        <w:t>making referrals which varies by organization:</w:t>
      </w:r>
    </w:p>
    <w:p w14:paraId="56929635" w14:textId="326F58ED" w:rsidR="0023561D" w:rsidRDefault="00934C68" w:rsidP="0023561D">
      <w:pPr>
        <w:pStyle w:val="ListParagraph"/>
        <w:numPr>
          <w:ilvl w:val="0"/>
          <w:numId w:val="1"/>
        </w:numPr>
        <w:ind w:left="1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Mariana Moore to </w:t>
      </w:r>
      <w:r w:rsidRPr="00934C68">
        <w:rPr>
          <w:rFonts w:cs="Arial"/>
          <w:sz w:val="22"/>
          <w:szCs w:val="22"/>
        </w:rPr>
        <w:t xml:space="preserve">receive, review, triage </w:t>
      </w:r>
      <w:r w:rsidR="00730204">
        <w:rPr>
          <w:rFonts w:cs="Arial"/>
          <w:sz w:val="22"/>
          <w:szCs w:val="22"/>
        </w:rPr>
        <w:t xml:space="preserve">and refer </w:t>
      </w:r>
      <w:r w:rsidRPr="00934C68">
        <w:rPr>
          <w:rFonts w:cs="Arial"/>
          <w:sz w:val="22"/>
          <w:szCs w:val="22"/>
        </w:rPr>
        <w:t>to appropriate agency team leads</w:t>
      </w:r>
    </w:p>
    <w:p w14:paraId="2AA7F63B" w14:textId="77D7D3F9" w:rsidR="0023561D" w:rsidRPr="0088795C" w:rsidRDefault="0023561D" w:rsidP="0023561D">
      <w:pPr>
        <w:pStyle w:val="ListParagraph"/>
        <w:numPr>
          <w:ilvl w:val="0"/>
          <w:numId w:val="1"/>
        </w:numPr>
        <w:ind w:left="180"/>
        <w:rPr>
          <w:rFonts w:cs="Arial"/>
          <w:sz w:val="22"/>
          <w:szCs w:val="22"/>
        </w:rPr>
      </w:pPr>
      <w:r w:rsidRPr="0088795C">
        <w:rPr>
          <w:rFonts w:cs="Arial"/>
          <w:sz w:val="22"/>
          <w:szCs w:val="22"/>
        </w:rPr>
        <w:t xml:space="preserve">At point of referring call, Mariana Moore to Save, Check </w:t>
      </w:r>
      <w:r w:rsidR="0088795C" w:rsidRPr="0088795C">
        <w:rPr>
          <w:rFonts w:cs="Arial"/>
          <w:sz w:val="22"/>
          <w:szCs w:val="22"/>
        </w:rPr>
        <w:t>in</w:t>
      </w:r>
      <w:r w:rsidR="0088795C">
        <w:rPr>
          <w:rFonts w:cs="Arial"/>
          <w:sz w:val="22"/>
          <w:szCs w:val="22"/>
        </w:rPr>
        <w:t>,</w:t>
      </w:r>
      <w:r w:rsidRPr="0088795C">
        <w:rPr>
          <w:rFonts w:cs="Arial"/>
          <w:sz w:val="22"/>
          <w:szCs w:val="22"/>
        </w:rPr>
        <w:t xml:space="preserve"> and Close Call so that those being referred </w:t>
      </w:r>
      <w:r w:rsidR="0088795C">
        <w:rPr>
          <w:rFonts w:cs="Arial"/>
          <w:sz w:val="22"/>
          <w:szCs w:val="22"/>
        </w:rPr>
        <w:t xml:space="preserve">to </w:t>
      </w:r>
      <w:r w:rsidRPr="0088795C">
        <w:rPr>
          <w:rFonts w:cs="Arial"/>
          <w:sz w:val="22"/>
          <w:szCs w:val="22"/>
        </w:rPr>
        <w:t>can Check out call</w:t>
      </w:r>
    </w:p>
    <w:p w14:paraId="5DE6B4EC" w14:textId="3ABDC0E5" w:rsidR="00DE7C8D" w:rsidRDefault="00DE7C8D" w:rsidP="002A27AF">
      <w:pPr>
        <w:pStyle w:val="ListParagraph"/>
        <w:numPr>
          <w:ilvl w:val="0"/>
          <w:numId w:val="1"/>
        </w:numPr>
        <w:ind w:left="1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POINT, DHS, and BHDDH: Use WellSky to assign the appropriate agency to the case</w:t>
      </w:r>
      <w:r w:rsidR="00934C68">
        <w:rPr>
          <w:rFonts w:cs="Arial"/>
          <w:sz w:val="22"/>
          <w:szCs w:val="22"/>
        </w:rPr>
        <w:t xml:space="preserve"> using the following email addresses:</w:t>
      </w:r>
      <w:r>
        <w:rPr>
          <w:rFonts w:cs="Arial"/>
          <w:sz w:val="22"/>
          <w:szCs w:val="22"/>
        </w:rPr>
        <w:t xml:space="preserve"> </w:t>
      </w:r>
    </w:p>
    <w:p w14:paraId="1B87B0FD" w14:textId="716EEB44" w:rsidR="00934C68" w:rsidRPr="00934C68" w:rsidRDefault="00934C68" w:rsidP="00934C68">
      <w:pPr>
        <w:pStyle w:val="ListParagraph"/>
        <w:numPr>
          <w:ilvl w:val="1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Point: </w:t>
      </w:r>
      <w:hyperlink r:id="rId8" w:history="1">
        <w:r w:rsidR="00730204" w:rsidRPr="00314471">
          <w:rPr>
            <w:rStyle w:val="Hyperlink"/>
            <w:sz w:val="22"/>
            <w:szCs w:val="22"/>
          </w:rPr>
          <w:t>Mariana.Moore@unitedwayri.org</w:t>
        </w:r>
      </w:hyperlink>
      <w:r w:rsidR="00730204">
        <w:t xml:space="preserve"> </w:t>
      </w:r>
      <w:r w:rsidRPr="00934C68">
        <w:rPr>
          <w:rFonts w:cs="Arial"/>
          <w:sz w:val="22"/>
          <w:szCs w:val="22"/>
        </w:rPr>
        <w:t xml:space="preserve"> </w:t>
      </w:r>
    </w:p>
    <w:p w14:paraId="56EB9146" w14:textId="5BDF3993" w:rsidR="00934C68" w:rsidRPr="000E483F" w:rsidRDefault="00934C68" w:rsidP="00934C68">
      <w:pPr>
        <w:pStyle w:val="ListParagraph"/>
        <w:numPr>
          <w:ilvl w:val="1"/>
          <w:numId w:val="1"/>
        </w:numPr>
        <w:rPr>
          <w:rStyle w:val="Hyperlink"/>
          <w:rFonts w:cs="Arial"/>
          <w:color w:val="auto"/>
          <w:sz w:val="22"/>
          <w:szCs w:val="22"/>
          <w:u w:val="none"/>
        </w:rPr>
      </w:pPr>
      <w:r>
        <w:rPr>
          <w:rFonts w:cs="Arial"/>
          <w:sz w:val="22"/>
          <w:szCs w:val="22"/>
        </w:rPr>
        <w:t xml:space="preserve">DHS: </w:t>
      </w:r>
      <w:hyperlink r:id="rId9" w:history="1">
        <w:r w:rsidRPr="00934C68">
          <w:rPr>
            <w:rStyle w:val="Hyperlink"/>
            <w:rFonts w:eastAsiaTheme="majorEastAsia" w:cs="Arial"/>
            <w:sz w:val="22"/>
            <w:szCs w:val="22"/>
          </w:rPr>
          <w:t>Kerry.Cook@dhs.ri.gov</w:t>
        </w:r>
      </w:hyperlink>
    </w:p>
    <w:p w14:paraId="1DB0A800" w14:textId="16A5BA81" w:rsidR="000E483F" w:rsidRPr="000E483F" w:rsidRDefault="000E483F" w:rsidP="000E483F">
      <w:pPr>
        <w:pStyle w:val="ListParagraph"/>
        <w:numPr>
          <w:ilvl w:val="2"/>
          <w:numId w:val="1"/>
        </w:numPr>
        <w:rPr>
          <w:rStyle w:val="Hyperlink"/>
          <w:rFonts w:cs="Arial"/>
          <w:color w:val="auto"/>
          <w:sz w:val="22"/>
          <w:szCs w:val="22"/>
          <w:u w:val="none"/>
        </w:rPr>
      </w:pPr>
      <w:r w:rsidRPr="000E483F">
        <w:rPr>
          <w:rStyle w:val="Hyperlink"/>
          <w:rFonts w:cs="Arial"/>
          <w:color w:val="auto"/>
          <w:sz w:val="22"/>
          <w:szCs w:val="22"/>
          <w:u w:val="none"/>
        </w:rPr>
        <w:t>DHS will review process for missing items, research and follow process</w:t>
      </w:r>
    </w:p>
    <w:p w14:paraId="087190C8" w14:textId="7EE81D34" w:rsidR="00730204" w:rsidRPr="000E483F" w:rsidRDefault="00934C68" w:rsidP="00730204">
      <w:pPr>
        <w:pStyle w:val="ListParagraph"/>
        <w:numPr>
          <w:ilvl w:val="1"/>
          <w:numId w:val="1"/>
        </w:numPr>
        <w:rPr>
          <w:rStyle w:val="Hyperlink"/>
          <w:rFonts w:cs="Arial"/>
          <w:color w:val="auto"/>
          <w:sz w:val="22"/>
          <w:szCs w:val="22"/>
          <w:u w:val="none"/>
        </w:rPr>
      </w:pPr>
      <w:r>
        <w:rPr>
          <w:rFonts w:cs="Arial"/>
          <w:sz w:val="22"/>
          <w:szCs w:val="22"/>
        </w:rPr>
        <w:t xml:space="preserve">BHDDH: </w:t>
      </w:r>
      <w:hyperlink r:id="rId10" w:history="1">
        <w:r w:rsidRPr="006C58AB">
          <w:rPr>
            <w:rStyle w:val="Hyperlink"/>
            <w:rFonts w:eastAsiaTheme="majorEastAsia"/>
            <w:sz w:val="22"/>
            <w:szCs w:val="22"/>
          </w:rPr>
          <w:t>Christine.Botts@bhddh.ri.gov</w:t>
        </w:r>
      </w:hyperlink>
    </w:p>
    <w:p w14:paraId="29B559F0" w14:textId="231FBA14" w:rsidR="000E483F" w:rsidRPr="000E483F" w:rsidRDefault="000E483F" w:rsidP="000E483F">
      <w:pPr>
        <w:pStyle w:val="ListParagraph"/>
        <w:numPr>
          <w:ilvl w:val="2"/>
          <w:numId w:val="1"/>
        </w:numPr>
        <w:rPr>
          <w:rStyle w:val="Hyperlink"/>
          <w:rFonts w:cs="Arial"/>
          <w:color w:val="auto"/>
          <w:sz w:val="22"/>
          <w:szCs w:val="22"/>
          <w:u w:val="none"/>
        </w:rPr>
      </w:pPr>
      <w:r w:rsidRPr="000E483F">
        <w:rPr>
          <w:sz w:val="22"/>
          <w:szCs w:val="22"/>
        </w:rPr>
        <w:t>BHDDH will counsel depending Transition Youth, Youth, Older Applicants following BHDDH documented referral process</w:t>
      </w:r>
    </w:p>
    <w:p w14:paraId="458A4E30" w14:textId="39409D87" w:rsidR="00934C68" w:rsidRPr="00730204" w:rsidRDefault="00934C68" w:rsidP="00730204">
      <w:pPr>
        <w:pStyle w:val="ListParagraph"/>
        <w:numPr>
          <w:ilvl w:val="0"/>
          <w:numId w:val="1"/>
        </w:numPr>
        <w:ind w:left="180"/>
        <w:rPr>
          <w:rFonts w:cs="Arial"/>
          <w:sz w:val="22"/>
          <w:szCs w:val="22"/>
        </w:rPr>
      </w:pPr>
      <w:r w:rsidRPr="00730204">
        <w:rPr>
          <w:rFonts w:cs="Arial"/>
          <w:sz w:val="22"/>
          <w:szCs w:val="22"/>
        </w:rPr>
        <w:t>Upon receipt, agency leads to assign out to team members for follow-up</w:t>
      </w:r>
      <w:r w:rsidR="00D51868">
        <w:rPr>
          <w:rFonts w:cs="Arial"/>
          <w:sz w:val="22"/>
          <w:szCs w:val="22"/>
        </w:rPr>
        <w:t xml:space="preserve">.  </w:t>
      </w:r>
    </w:p>
    <w:p w14:paraId="7B63065A" w14:textId="0DBAA7C0" w:rsidR="007E6FE5" w:rsidRPr="00DE7C8D" w:rsidRDefault="00DE7C8D" w:rsidP="002A27AF">
      <w:pPr>
        <w:pStyle w:val="ListParagraph"/>
        <w:numPr>
          <w:ilvl w:val="0"/>
          <w:numId w:val="1"/>
        </w:numPr>
        <w:ind w:left="180"/>
        <w:rPr>
          <w:rFonts w:cs="Arial"/>
          <w:sz w:val="22"/>
          <w:szCs w:val="22"/>
        </w:rPr>
      </w:pPr>
      <w:r w:rsidRPr="00DE7C8D">
        <w:rPr>
          <w:rFonts w:cs="Arial"/>
          <w:sz w:val="22"/>
          <w:szCs w:val="22"/>
        </w:rPr>
        <w:t xml:space="preserve">NHTP and OSCIL: </w:t>
      </w:r>
      <w:r>
        <w:rPr>
          <w:rFonts w:cs="Arial"/>
          <w:sz w:val="22"/>
          <w:szCs w:val="22"/>
        </w:rPr>
        <w:t xml:space="preserve">Please refer to </w:t>
      </w:r>
      <w:r w:rsidR="002A27AF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>policy titled “</w:t>
      </w:r>
      <w:r w:rsidRPr="00DE7C8D">
        <w:rPr>
          <w:rFonts w:cs="Arial"/>
          <w:sz w:val="20"/>
          <w:szCs w:val="20"/>
        </w:rPr>
        <w:t>Referrals to NHTP and OSCIL</w:t>
      </w:r>
      <w:r>
        <w:rPr>
          <w:rFonts w:cs="Arial"/>
          <w:sz w:val="20"/>
          <w:szCs w:val="20"/>
        </w:rPr>
        <w:t>.docx</w:t>
      </w:r>
      <w:r>
        <w:rPr>
          <w:rFonts w:cs="Arial"/>
          <w:sz w:val="22"/>
          <w:szCs w:val="22"/>
        </w:rPr>
        <w:t xml:space="preserve">”. </w:t>
      </w:r>
      <w:r>
        <w:rPr>
          <w:sz w:val="22"/>
          <w:szCs w:val="22"/>
          <w:lang w:val="en-IN"/>
        </w:rPr>
        <w:t>At the time of this policy, the NHTP and OSCIL do not have access to WellSky; therefore, a different approach is</w:t>
      </w:r>
      <w:r w:rsidR="002A27AF">
        <w:rPr>
          <w:sz w:val="22"/>
          <w:szCs w:val="22"/>
          <w:lang w:val="en-IN"/>
        </w:rPr>
        <w:t xml:space="preserve"> </w:t>
      </w:r>
      <w:r>
        <w:rPr>
          <w:sz w:val="22"/>
          <w:szCs w:val="22"/>
          <w:lang w:val="en-IN"/>
        </w:rPr>
        <w:t xml:space="preserve">taken when making referrals. </w:t>
      </w:r>
    </w:p>
    <w:p w14:paraId="46D28DBA" w14:textId="52BD6271" w:rsidR="00DE7C8D" w:rsidRPr="005C3FAD" w:rsidRDefault="00DE7C8D" w:rsidP="00DE7C8D">
      <w:pPr>
        <w:rPr>
          <w:sz w:val="16"/>
          <w:szCs w:val="16"/>
          <w:lang w:val="en-IN"/>
        </w:rPr>
      </w:pPr>
    </w:p>
    <w:p w14:paraId="467663F0" w14:textId="46E4D4B0" w:rsidR="00DE7C8D" w:rsidRPr="005C3FAD" w:rsidRDefault="00DE7C8D" w:rsidP="00DE7C8D">
      <w:pPr>
        <w:rPr>
          <w:sz w:val="16"/>
          <w:szCs w:val="16"/>
          <w:lang w:val="en-IN"/>
        </w:rPr>
      </w:pPr>
    </w:p>
    <w:tbl>
      <w:tblPr>
        <w:tblStyle w:val="TableGrid"/>
        <w:tblW w:w="10710" w:type="dxa"/>
        <w:tblInd w:w="-545" w:type="dxa"/>
        <w:tblLook w:val="04A0" w:firstRow="1" w:lastRow="0" w:firstColumn="1" w:lastColumn="0" w:noHBand="0" w:noVBand="1"/>
      </w:tblPr>
      <w:tblGrid>
        <w:gridCol w:w="6405"/>
        <w:gridCol w:w="761"/>
        <w:gridCol w:w="828"/>
        <w:gridCol w:w="943"/>
        <w:gridCol w:w="1134"/>
        <w:gridCol w:w="639"/>
      </w:tblGrid>
      <w:tr w:rsidR="002A27AF" w14:paraId="05752CAA" w14:textId="77777777" w:rsidTr="00B06E24">
        <w:tc>
          <w:tcPr>
            <w:tcW w:w="6480" w:type="dxa"/>
            <w:shd w:val="clear" w:color="auto" w:fill="0070C0"/>
            <w:vAlign w:val="bottom"/>
          </w:tcPr>
          <w:p w14:paraId="13D7ACE5" w14:textId="3C65BEF9" w:rsidR="002A27AF" w:rsidRPr="00DE7C8D" w:rsidRDefault="002A27AF" w:rsidP="002A27AF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A27AF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MyOptionsRI LTSS Self Assessment</w:t>
            </w:r>
            <w:r w:rsidR="00B06E24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 xml:space="preserve"> Results</w:t>
            </w:r>
          </w:p>
        </w:tc>
        <w:tc>
          <w:tcPr>
            <w:tcW w:w="679" w:type="dxa"/>
            <w:shd w:val="clear" w:color="auto" w:fill="0070C0"/>
            <w:vAlign w:val="bottom"/>
          </w:tcPr>
          <w:p w14:paraId="6DE928F4" w14:textId="6B241033" w:rsidR="002A27AF" w:rsidRPr="00DE7C8D" w:rsidRDefault="002A27AF" w:rsidP="002A27AF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E7C8D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NHTP</w:t>
            </w:r>
          </w:p>
        </w:tc>
        <w:tc>
          <w:tcPr>
            <w:tcW w:w="828" w:type="dxa"/>
            <w:shd w:val="clear" w:color="auto" w:fill="0070C0"/>
            <w:vAlign w:val="bottom"/>
          </w:tcPr>
          <w:p w14:paraId="61AF849E" w14:textId="618E5928" w:rsidR="002A27AF" w:rsidRPr="00DE7C8D" w:rsidRDefault="002A27AF" w:rsidP="002A27AF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E7C8D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OSCIL</w:t>
            </w:r>
          </w:p>
        </w:tc>
        <w:tc>
          <w:tcPr>
            <w:tcW w:w="943" w:type="dxa"/>
            <w:shd w:val="clear" w:color="auto" w:fill="0070C0"/>
            <w:vAlign w:val="bottom"/>
          </w:tcPr>
          <w:p w14:paraId="79566214" w14:textId="141AC76F" w:rsidR="002A27AF" w:rsidRPr="00DE7C8D" w:rsidRDefault="002A27AF" w:rsidP="002A27AF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E7C8D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BHDDH</w:t>
            </w:r>
          </w:p>
        </w:tc>
        <w:tc>
          <w:tcPr>
            <w:tcW w:w="1141" w:type="dxa"/>
            <w:shd w:val="clear" w:color="auto" w:fill="0070C0"/>
            <w:vAlign w:val="bottom"/>
          </w:tcPr>
          <w:p w14:paraId="54108E01" w14:textId="27148F60" w:rsidR="002A27AF" w:rsidRPr="00DE7C8D" w:rsidRDefault="002A27AF" w:rsidP="002A27AF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E7C8D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The Point</w:t>
            </w:r>
          </w:p>
        </w:tc>
        <w:tc>
          <w:tcPr>
            <w:tcW w:w="639" w:type="dxa"/>
            <w:shd w:val="clear" w:color="auto" w:fill="0070C0"/>
            <w:vAlign w:val="bottom"/>
          </w:tcPr>
          <w:p w14:paraId="1A249AC7" w14:textId="77777777" w:rsidR="002A27AF" w:rsidRPr="00DE7C8D" w:rsidRDefault="002A27AF" w:rsidP="002A27AF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E7C8D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DHS</w:t>
            </w:r>
          </w:p>
        </w:tc>
      </w:tr>
      <w:tr w:rsidR="002A27AF" w14:paraId="0ABC73F6" w14:textId="77777777" w:rsidTr="00B06E24">
        <w:tc>
          <w:tcPr>
            <w:tcW w:w="6480" w:type="dxa"/>
            <w:shd w:val="clear" w:color="auto" w:fill="BFBFBF" w:themeFill="background1" w:themeFillShade="BF"/>
          </w:tcPr>
          <w:p w14:paraId="7B3F246F" w14:textId="77777777" w:rsidR="002A27AF" w:rsidRPr="00653FCE" w:rsidRDefault="002A27AF" w:rsidP="002A27AF">
            <w:pPr>
              <w:rPr>
                <w:rFonts w:cs="Arial"/>
                <w:sz w:val="20"/>
                <w:szCs w:val="20"/>
              </w:rPr>
            </w:pPr>
            <w:r w:rsidRPr="00653FCE">
              <w:rPr>
                <w:rFonts w:cs="Arial"/>
                <w:b/>
                <w:bCs/>
                <w:sz w:val="20"/>
                <w:szCs w:val="20"/>
              </w:rPr>
              <w:t>Score = PCOC Recommended (Score)</w:t>
            </w:r>
          </w:p>
        </w:tc>
        <w:tc>
          <w:tcPr>
            <w:tcW w:w="679" w:type="dxa"/>
            <w:shd w:val="clear" w:color="auto" w:fill="BFBFBF" w:themeFill="background1" w:themeFillShade="BF"/>
          </w:tcPr>
          <w:p w14:paraId="28DA4C8D" w14:textId="77777777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BFBFBF" w:themeFill="background1" w:themeFillShade="BF"/>
          </w:tcPr>
          <w:p w14:paraId="0C080AFC" w14:textId="6A21AC42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43" w:type="dxa"/>
            <w:shd w:val="clear" w:color="auto" w:fill="BFBFBF" w:themeFill="background1" w:themeFillShade="BF"/>
          </w:tcPr>
          <w:p w14:paraId="269C6842" w14:textId="77777777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BFBFBF" w:themeFill="background1" w:themeFillShade="BF"/>
          </w:tcPr>
          <w:p w14:paraId="4065BCBF" w14:textId="6A236D66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BFBFBF" w:themeFill="background1" w:themeFillShade="BF"/>
          </w:tcPr>
          <w:p w14:paraId="1A06C022" w14:textId="77777777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A27AF" w14:paraId="70DF4087" w14:textId="77777777" w:rsidTr="00B06E24">
        <w:tc>
          <w:tcPr>
            <w:tcW w:w="6480" w:type="dxa"/>
          </w:tcPr>
          <w:p w14:paraId="7AB95E0F" w14:textId="77777777" w:rsidR="002A27AF" w:rsidRPr="00653FCE" w:rsidRDefault="002A27AF" w:rsidP="002A27AF">
            <w:pPr>
              <w:rPr>
                <w:rFonts w:cs="Arial"/>
                <w:sz w:val="20"/>
                <w:szCs w:val="20"/>
                <w:lang w:val="en-IN"/>
              </w:rPr>
            </w:pPr>
            <w:r w:rsidRPr="00653FCE">
              <w:rPr>
                <w:rFonts w:cs="Arial"/>
                <w:sz w:val="20"/>
                <w:szCs w:val="20"/>
                <w:lang w:val="en-IN"/>
              </w:rPr>
              <w:t>High Priority (Score) = Youth (IDD or Other Disability) Who is Turning 19 or 21</w:t>
            </w:r>
          </w:p>
        </w:tc>
        <w:tc>
          <w:tcPr>
            <w:tcW w:w="679" w:type="dxa"/>
          </w:tcPr>
          <w:p w14:paraId="7B72EBB9" w14:textId="77777777" w:rsidR="002A27AF" w:rsidRPr="00653FCE" w:rsidRDefault="002A27AF" w:rsidP="002A27A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28" w:type="dxa"/>
          </w:tcPr>
          <w:p w14:paraId="7BAE68B7" w14:textId="4B64F760" w:rsidR="002A27AF" w:rsidRPr="00653FCE" w:rsidRDefault="002A27AF" w:rsidP="002A27A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43" w:type="dxa"/>
            <w:shd w:val="clear" w:color="auto" w:fill="92D050"/>
          </w:tcPr>
          <w:p w14:paraId="5858E236" w14:textId="6261B734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  <w:r w:rsidRPr="00653FC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141" w:type="dxa"/>
          </w:tcPr>
          <w:p w14:paraId="345A6068" w14:textId="0F92B996" w:rsidR="002A27AF" w:rsidRPr="00653FCE" w:rsidRDefault="002A27AF" w:rsidP="002A27A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39" w:type="dxa"/>
          </w:tcPr>
          <w:p w14:paraId="0A315279" w14:textId="77777777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A27AF" w14:paraId="0BFBC464" w14:textId="77777777" w:rsidTr="00B06E24">
        <w:tc>
          <w:tcPr>
            <w:tcW w:w="6480" w:type="dxa"/>
          </w:tcPr>
          <w:p w14:paraId="3FBB5DA6" w14:textId="77777777" w:rsidR="002A27AF" w:rsidRPr="00653FCE" w:rsidRDefault="002A27AF" w:rsidP="002A27AF">
            <w:pPr>
              <w:rPr>
                <w:rFonts w:cs="Arial"/>
                <w:sz w:val="20"/>
                <w:szCs w:val="20"/>
                <w:lang w:val="en-IN"/>
              </w:rPr>
            </w:pPr>
            <w:r w:rsidRPr="00653FCE">
              <w:rPr>
                <w:rFonts w:cs="Arial"/>
                <w:sz w:val="20"/>
                <w:szCs w:val="20"/>
                <w:lang w:val="en-IN"/>
              </w:rPr>
              <w:t xml:space="preserve">Health Status &amp; Cognition (Score) = </w:t>
            </w:r>
            <w:r w:rsidRPr="00653FCE">
              <w:rPr>
                <w:rFonts w:eastAsiaTheme="minorHAnsi" w:cs="Arial"/>
                <w:sz w:val="20"/>
                <w:szCs w:val="20"/>
                <w:lang w:val="en-IN"/>
              </w:rPr>
              <w:t>Intellectual or Developmental Disability</w:t>
            </w:r>
          </w:p>
        </w:tc>
        <w:tc>
          <w:tcPr>
            <w:tcW w:w="679" w:type="dxa"/>
          </w:tcPr>
          <w:p w14:paraId="5D417BD8" w14:textId="77777777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8" w:type="dxa"/>
          </w:tcPr>
          <w:p w14:paraId="62965EBC" w14:textId="411BA97A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43" w:type="dxa"/>
            <w:shd w:val="clear" w:color="auto" w:fill="92D050"/>
          </w:tcPr>
          <w:p w14:paraId="684C3D4F" w14:textId="59BE237A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  <w:r w:rsidRPr="00653FC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141" w:type="dxa"/>
          </w:tcPr>
          <w:p w14:paraId="120484A5" w14:textId="261C2999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39" w:type="dxa"/>
          </w:tcPr>
          <w:p w14:paraId="52617187" w14:textId="77777777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A27AF" w14:paraId="682D3407" w14:textId="77777777" w:rsidTr="00B06E24">
        <w:tc>
          <w:tcPr>
            <w:tcW w:w="6480" w:type="dxa"/>
          </w:tcPr>
          <w:p w14:paraId="54A9E9F2" w14:textId="77777777" w:rsidR="002A27AF" w:rsidRPr="00653FCE" w:rsidRDefault="002A27AF" w:rsidP="002A27AF">
            <w:pPr>
              <w:rPr>
                <w:rFonts w:cs="Arial"/>
                <w:sz w:val="20"/>
                <w:szCs w:val="20"/>
              </w:rPr>
            </w:pPr>
            <w:r w:rsidRPr="00653FCE">
              <w:rPr>
                <w:rFonts w:eastAsiaTheme="minorEastAsia" w:cs="Arial"/>
                <w:sz w:val="20"/>
                <w:szCs w:val="20"/>
                <w:lang w:val="en-IN"/>
              </w:rPr>
              <w:t>Medicaid LTSS Financial Eligibility</w:t>
            </w:r>
            <w:r w:rsidRPr="00653FCE">
              <w:rPr>
                <w:rFonts w:cs="Arial"/>
                <w:sz w:val="20"/>
                <w:szCs w:val="20"/>
                <w:lang w:val="en-IN"/>
              </w:rPr>
              <w:t xml:space="preserve"> (Score)</w:t>
            </w:r>
            <w:r w:rsidRPr="00653FCE">
              <w:rPr>
                <w:rFonts w:cs="Arial"/>
                <w:sz w:val="20"/>
                <w:szCs w:val="20"/>
              </w:rPr>
              <w:t xml:space="preserve"> = Already receiving Medicaid</w:t>
            </w:r>
          </w:p>
        </w:tc>
        <w:tc>
          <w:tcPr>
            <w:tcW w:w="679" w:type="dxa"/>
          </w:tcPr>
          <w:p w14:paraId="08F61D75" w14:textId="77777777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8" w:type="dxa"/>
          </w:tcPr>
          <w:p w14:paraId="2F535DA6" w14:textId="3AD498C9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43" w:type="dxa"/>
          </w:tcPr>
          <w:p w14:paraId="6136EFC6" w14:textId="77777777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1" w:type="dxa"/>
          </w:tcPr>
          <w:p w14:paraId="1580DCE8" w14:textId="0B756636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92D050"/>
          </w:tcPr>
          <w:p w14:paraId="0BA76AA7" w14:textId="77777777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  <w:r w:rsidRPr="00653FCE">
              <w:rPr>
                <w:rFonts w:cs="Arial"/>
                <w:sz w:val="20"/>
                <w:szCs w:val="20"/>
              </w:rPr>
              <w:t>X</w:t>
            </w:r>
          </w:p>
        </w:tc>
      </w:tr>
      <w:tr w:rsidR="002A27AF" w14:paraId="2D617D65" w14:textId="77777777" w:rsidTr="00B06E24">
        <w:tc>
          <w:tcPr>
            <w:tcW w:w="6480" w:type="dxa"/>
          </w:tcPr>
          <w:p w14:paraId="2931D300" w14:textId="77777777" w:rsidR="002A27AF" w:rsidRPr="00653FCE" w:rsidRDefault="002A27AF" w:rsidP="002A27AF">
            <w:pPr>
              <w:rPr>
                <w:rFonts w:cs="Arial"/>
                <w:sz w:val="20"/>
                <w:szCs w:val="20"/>
              </w:rPr>
            </w:pPr>
            <w:r w:rsidRPr="00653FCE">
              <w:rPr>
                <w:rFonts w:eastAsiaTheme="minorEastAsia" w:cs="Arial"/>
                <w:sz w:val="20"/>
                <w:szCs w:val="20"/>
                <w:lang w:val="en-IN"/>
              </w:rPr>
              <w:t>Medicaid LTSS Financial Eligibility</w:t>
            </w:r>
            <w:r w:rsidRPr="00653FCE">
              <w:rPr>
                <w:rFonts w:cs="Arial"/>
                <w:sz w:val="20"/>
                <w:szCs w:val="20"/>
                <w:lang w:val="en-IN"/>
              </w:rPr>
              <w:t xml:space="preserve"> (Score)</w:t>
            </w:r>
            <w:r w:rsidRPr="00653FCE">
              <w:rPr>
                <w:rFonts w:cs="Arial"/>
                <w:sz w:val="20"/>
                <w:szCs w:val="20"/>
              </w:rPr>
              <w:t xml:space="preserve"> = Eligible/most certainly Eligible</w:t>
            </w:r>
          </w:p>
        </w:tc>
        <w:tc>
          <w:tcPr>
            <w:tcW w:w="679" w:type="dxa"/>
          </w:tcPr>
          <w:p w14:paraId="73C0D1BC" w14:textId="77777777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8" w:type="dxa"/>
          </w:tcPr>
          <w:p w14:paraId="2B14217B" w14:textId="1846EB62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43" w:type="dxa"/>
          </w:tcPr>
          <w:p w14:paraId="4E0AD51C" w14:textId="77777777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1" w:type="dxa"/>
          </w:tcPr>
          <w:p w14:paraId="77787466" w14:textId="222A13CD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92D050"/>
          </w:tcPr>
          <w:p w14:paraId="63165F3E" w14:textId="77777777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  <w:r w:rsidRPr="00653FCE">
              <w:rPr>
                <w:rFonts w:cs="Arial"/>
                <w:sz w:val="20"/>
                <w:szCs w:val="20"/>
              </w:rPr>
              <w:t>X</w:t>
            </w:r>
          </w:p>
        </w:tc>
      </w:tr>
      <w:tr w:rsidR="002A27AF" w14:paraId="7EDA75D1" w14:textId="77777777" w:rsidTr="00B06E24">
        <w:tc>
          <w:tcPr>
            <w:tcW w:w="6480" w:type="dxa"/>
          </w:tcPr>
          <w:p w14:paraId="10146742" w14:textId="77777777" w:rsidR="002A27AF" w:rsidRPr="00653FCE" w:rsidRDefault="002A27AF" w:rsidP="002A27AF">
            <w:pPr>
              <w:rPr>
                <w:rFonts w:cs="Arial"/>
                <w:sz w:val="20"/>
                <w:szCs w:val="20"/>
              </w:rPr>
            </w:pPr>
            <w:r w:rsidRPr="00653FCE">
              <w:rPr>
                <w:rFonts w:eastAsiaTheme="minorEastAsia" w:cs="Arial"/>
                <w:sz w:val="20"/>
                <w:szCs w:val="20"/>
                <w:lang w:val="en-IN"/>
              </w:rPr>
              <w:t>Medicaid LTSS Financial Eligibility</w:t>
            </w:r>
            <w:r w:rsidRPr="00653FCE">
              <w:rPr>
                <w:rFonts w:cs="Arial"/>
                <w:sz w:val="20"/>
                <w:szCs w:val="20"/>
              </w:rPr>
              <w:t xml:space="preserve"> </w:t>
            </w:r>
            <w:r w:rsidRPr="00653FCE">
              <w:rPr>
                <w:rFonts w:cs="Arial"/>
                <w:sz w:val="20"/>
                <w:szCs w:val="20"/>
                <w:lang w:val="en-IN"/>
              </w:rPr>
              <w:t>(Score)</w:t>
            </w:r>
            <w:r w:rsidRPr="00653FCE">
              <w:rPr>
                <w:rFonts w:cs="Arial"/>
                <w:sz w:val="20"/>
                <w:szCs w:val="20"/>
              </w:rPr>
              <w:t xml:space="preserve"> = Might be eligible</w:t>
            </w:r>
          </w:p>
        </w:tc>
        <w:tc>
          <w:tcPr>
            <w:tcW w:w="679" w:type="dxa"/>
            <w:shd w:val="clear" w:color="auto" w:fill="auto"/>
          </w:tcPr>
          <w:p w14:paraId="32DF0B0A" w14:textId="77777777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auto"/>
          </w:tcPr>
          <w:p w14:paraId="597BE935" w14:textId="485D003D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43" w:type="dxa"/>
            <w:shd w:val="clear" w:color="auto" w:fill="auto"/>
          </w:tcPr>
          <w:p w14:paraId="02FEE615" w14:textId="77777777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92D050"/>
          </w:tcPr>
          <w:p w14:paraId="79CA011A" w14:textId="7A9ED472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  <w:r w:rsidRPr="00653FC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639" w:type="dxa"/>
          </w:tcPr>
          <w:p w14:paraId="55993024" w14:textId="77777777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A27AF" w14:paraId="052E407C" w14:textId="77777777" w:rsidTr="00B06E24">
        <w:tc>
          <w:tcPr>
            <w:tcW w:w="6480" w:type="dxa"/>
          </w:tcPr>
          <w:p w14:paraId="1DE6D694" w14:textId="77777777" w:rsidR="002A27AF" w:rsidRPr="00653FCE" w:rsidRDefault="002A27AF" w:rsidP="002A27AF">
            <w:pPr>
              <w:rPr>
                <w:rFonts w:cs="Arial"/>
                <w:sz w:val="20"/>
                <w:szCs w:val="20"/>
              </w:rPr>
            </w:pPr>
            <w:r w:rsidRPr="00653FCE">
              <w:rPr>
                <w:rFonts w:eastAsiaTheme="minorEastAsia" w:cs="Arial"/>
                <w:sz w:val="20"/>
                <w:szCs w:val="20"/>
                <w:lang w:val="en-IN"/>
              </w:rPr>
              <w:t>Medicaid LTSS Financial Eligibility</w:t>
            </w:r>
            <w:r w:rsidRPr="00653FCE">
              <w:rPr>
                <w:rFonts w:cs="Arial"/>
                <w:sz w:val="20"/>
                <w:szCs w:val="20"/>
              </w:rPr>
              <w:t xml:space="preserve"> </w:t>
            </w:r>
            <w:r w:rsidRPr="00653FCE">
              <w:rPr>
                <w:rFonts w:cs="Arial"/>
                <w:sz w:val="20"/>
                <w:szCs w:val="20"/>
                <w:lang w:val="en-IN"/>
              </w:rPr>
              <w:t>(Score)</w:t>
            </w:r>
            <w:r w:rsidRPr="00653FCE">
              <w:rPr>
                <w:rFonts w:cs="Arial"/>
                <w:sz w:val="20"/>
                <w:szCs w:val="20"/>
              </w:rPr>
              <w:t xml:space="preserve"> = Most likely ineligible</w:t>
            </w:r>
          </w:p>
        </w:tc>
        <w:tc>
          <w:tcPr>
            <w:tcW w:w="679" w:type="dxa"/>
            <w:shd w:val="clear" w:color="auto" w:fill="auto"/>
          </w:tcPr>
          <w:p w14:paraId="21E60EE8" w14:textId="77777777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auto"/>
          </w:tcPr>
          <w:p w14:paraId="1B5359C9" w14:textId="22D6B4E2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43" w:type="dxa"/>
            <w:shd w:val="clear" w:color="auto" w:fill="auto"/>
          </w:tcPr>
          <w:p w14:paraId="27F2E27A" w14:textId="77777777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92D050"/>
          </w:tcPr>
          <w:p w14:paraId="3BC2A4C9" w14:textId="489864B8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  <w:r w:rsidRPr="00653FC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639" w:type="dxa"/>
          </w:tcPr>
          <w:p w14:paraId="353895A0" w14:textId="77777777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A27AF" w14:paraId="64892D44" w14:textId="77777777" w:rsidTr="00B06E24">
        <w:tc>
          <w:tcPr>
            <w:tcW w:w="6480" w:type="dxa"/>
            <w:shd w:val="clear" w:color="auto" w:fill="BFBFBF" w:themeFill="background1" w:themeFillShade="BF"/>
          </w:tcPr>
          <w:p w14:paraId="5A6C80BB" w14:textId="77777777" w:rsidR="002A27AF" w:rsidRPr="00653FCE" w:rsidRDefault="002A27AF" w:rsidP="002A27A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53FCE">
              <w:rPr>
                <w:rFonts w:cs="Arial"/>
                <w:b/>
                <w:bCs/>
                <w:sz w:val="20"/>
                <w:szCs w:val="20"/>
              </w:rPr>
              <w:lastRenderedPageBreak/>
              <w:t>PCOC Not Recommended (Score)</w:t>
            </w:r>
          </w:p>
        </w:tc>
        <w:tc>
          <w:tcPr>
            <w:tcW w:w="679" w:type="dxa"/>
            <w:shd w:val="clear" w:color="auto" w:fill="BFBFBF" w:themeFill="background1" w:themeFillShade="BF"/>
          </w:tcPr>
          <w:p w14:paraId="6FBCB365" w14:textId="77777777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BFBFBF" w:themeFill="background1" w:themeFillShade="BF"/>
          </w:tcPr>
          <w:p w14:paraId="7F94B50A" w14:textId="5B448C06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43" w:type="dxa"/>
            <w:shd w:val="clear" w:color="auto" w:fill="BFBFBF" w:themeFill="background1" w:themeFillShade="BF"/>
          </w:tcPr>
          <w:p w14:paraId="57869186" w14:textId="77777777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BFBFBF" w:themeFill="background1" w:themeFillShade="BF"/>
          </w:tcPr>
          <w:p w14:paraId="0F935BCE" w14:textId="3D0E0CF4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BFBFBF" w:themeFill="background1" w:themeFillShade="BF"/>
          </w:tcPr>
          <w:p w14:paraId="2335A775" w14:textId="77777777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A27AF" w14:paraId="0658774D" w14:textId="77777777" w:rsidTr="00B06E24">
        <w:tc>
          <w:tcPr>
            <w:tcW w:w="6480" w:type="dxa"/>
          </w:tcPr>
          <w:p w14:paraId="7D9A7A64" w14:textId="77777777" w:rsidR="002A27AF" w:rsidRPr="00653FCE" w:rsidRDefault="002A27AF" w:rsidP="002A27A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53FCE">
              <w:rPr>
                <w:rFonts w:cs="Arial"/>
                <w:sz w:val="20"/>
                <w:szCs w:val="20"/>
              </w:rPr>
              <w:t xml:space="preserve">Health Coverage (Field) = Medicaid All Other  </w:t>
            </w:r>
          </w:p>
        </w:tc>
        <w:tc>
          <w:tcPr>
            <w:tcW w:w="679" w:type="dxa"/>
          </w:tcPr>
          <w:p w14:paraId="27C900B1" w14:textId="77777777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8" w:type="dxa"/>
          </w:tcPr>
          <w:p w14:paraId="7E954A11" w14:textId="37E6AEB4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43" w:type="dxa"/>
          </w:tcPr>
          <w:p w14:paraId="662700AE" w14:textId="77777777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1" w:type="dxa"/>
          </w:tcPr>
          <w:p w14:paraId="2A5655BA" w14:textId="71644AB6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92D050"/>
          </w:tcPr>
          <w:p w14:paraId="4D237CBD" w14:textId="77777777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  <w:r w:rsidRPr="00653FCE">
              <w:rPr>
                <w:rFonts w:cs="Arial"/>
                <w:sz w:val="20"/>
                <w:szCs w:val="20"/>
              </w:rPr>
              <w:t>X</w:t>
            </w:r>
          </w:p>
        </w:tc>
      </w:tr>
      <w:tr w:rsidR="002A27AF" w14:paraId="1CB495E4" w14:textId="77777777" w:rsidTr="00B06E24">
        <w:tc>
          <w:tcPr>
            <w:tcW w:w="6480" w:type="dxa"/>
          </w:tcPr>
          <w:p w14:paraId="0AE58544" w14:textId="77777777" w:rsidR="002A27AF" w:rsidRPr="00653FCE" w:rsidRDefault="002A27AF" w:rsidP="002A27AF">
            <w:pPr>
              <w:rPr>
                <w:rFonts w:cs="Arial"/>
                <w:sz w:val="20"/>
                <w:szCs w:val="20"/>
              </w:rPr>
            </w:pPr>
            <w:r w:rsidRPr="00653FCE">
              <w:rPr>
                <w:rFonts w:cs="Arial"/>
                <w:sz w:val="20"/>
                <w:szCs w:val="20"/>
              </w:rPr>
              <w:t>Health Coverage (Field) = Medicaid Application Pending</w:t>
            </w:r>
          </w:p>
        </w:tc>
        <w:tc>
          <w:tcPr>
            <w:tcW w:w="679" w:type="dxa"/>
          </w:tcPr>
          <w:p w14:paraId="576BACF3" w14:textId="77777777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8" w:type="dxa"/>
          </w:tcPr>
          <w:p w14:paraId="0D7E6A10" w14:textId="13F5CAA4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43" w:type="dxa"/>
          </w:tcPr>
          <w:p w14:paraId="1B6F3B53" w14:textId="77777777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1" w:type="dxa"/>
          </w:tcPr>
          <w:p w14:paraId="22362F56" w14:textId="76717BC5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92D050"/>
          </w:tcPr>
          <w:p w14:paraId="13C2C179" w14:textId="77777777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  <w:r w:rsidRPr="00653FCE">
              <w:rPr>
                <w:rFonts w:cs="Arial"/>
                <w:sz w:val="20"/>
                <w:szCs w:val="20"/>
              </w:rPr>
              <w:t>X</w:t>
            </w:r>
          </w:p>
        </w:tc>
      </w:tr>
      <w:tr w:rsidR="002A27AF" w14:paraId="7633C4B8" w14:textId="77777777" w:rsidTr="00B06E24">
        <w:tc>
          <w:tcPr>
            <w:tcW w:w="6480" w:type="dxa"/>
          </w:tcPr>
          <w:p w14:paraId="56E70DB0" w14:textId="77777777" w:rsidR="002A27AF" w:rsidRPr="00653FCE" w:rsidRDefault="002A27AF" w:rsidP="002A27AF">
            <w:pPr>
              <w:rPr>
                <w:rFonts w:cs="Arial"/>
                <w:sz w:val="20"/>
                <w:szCs w:val="20"/>
              </w:rPr>
            </w:pPr>
            <w:r w:rsidRPr="00653FCE">
              <w:rPr>
                <w:rFonts w:cs="Arial"/>
                <w:sz w:val="20"/>
                <w:szCs w:val="20"/>
              </w:rPr>
              <w:t>All others (Field or Score)</w:t>
            </w:r>
          </w:p>
        </w:tc>
        <w:tc>
          <w:tcPr>
            <w:tcW w:w="679" w:type="dxa"/>
            <w:shd w:val="clear" w:color="auto" w:fill="auto"/>
          </w:tcPr>
          <w:p w14:paraId="21A9B451" w14:textId="77777777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auto"/>
          </w:tcPr>
          <w:p w14:paraId="577C9815" w14:textId="5164C36B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43" w:type="dxa"/>
            <w:shd w:val="clear" w:color="auto" w:fill="auto"/>
          </w:tcPr>
          <w:p w14:paraId="2241EA8E" w14:textId="77777777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92D050"/>
          </w:tcPr>
          <w:p w14:paraId="79050C2D" w14:textId="6E92DAD9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  <w:r w:rsidRPr="00653FC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639" w:type="dxa"/>
          </w:tcPr>
          <w:p w14:paraId="51B1021F" w14:textId="77777777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A27AF" w14:paraId="2126491B" w14:textId="77777777" w:rsidTr="00B06E24">
        <w:tc>
          <w:tcPr>
            <w:tcW w:w="6480" w:type="dxa"/>
            <w:shd w:val="clear" w:color="auto" w:fill="BFBFBF" w:themeFill="background1" w:themeFillShade="BF"/>
          </w:tcPr>
          <w:p w14:paraId="3B0EB969" w14:textId="77777777" w:rsidR="002A27AF" w:rsidRPr="00653FCE" w:rsidRDefault="002A27AF" w:rsidP="002A27AF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53FCE">
              <w:rPr>
                <w:rFonts w:cs="Arial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679" w:type="dxa"/>
            <w:shd w:val="clear" w:color="auto" w:fill="BFBFBF" w:themeFill="background1" w:themeFillShade="BF"/>
          </w:tcPr>
          <w:p w14:paraId="2A2093B8" w14:textId="77777777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BFBFBF" w:themeFill="background1" w:themeFillShade="BF"/>
          </w:tcPr>
          <w:p w14:paraId="6D4EE603" w14:textId="431F7D8E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43" w:type="dxa"/>
            <w:shd w:val="clear" w:color="auto" w:fill="BFBFBF" w:themeFill="background1" w:themeFillShade="BF"/>
          </w:tcPr>
          <w:p w14:paraId="4684C39F" w14:textId="77777777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BFBFBF" w:themeFill="background1" w:themeFillShade="BF"/>
          </w:tcPr>
          <w:p w14:paraId="3EEBC0A5" w14:textId="473FC575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BFBFBF" w:themeFill="background1" w:themeFillShade="BF"/>
          </w:tcPr>
          <w:p w14:paraId="754A4910" w14:textId="77777777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A27AF" w14:paraId="075BE75E" w14:textId="77777777" w:rsidTr="00B06E24">
        <w:tc>
          <w:tcPr>
            <w:tcW w:w="6480" w:type="dxa"/>
          </w:tcPr>
          <w:p w14:paraId="54CF55BE" w14:textId="77777777" w:rsidR="002A27AF" w:rsidRPr="00653FCE" w:rsidRDefault="002A27AF" w:rsidP="002A27AF">
            <w:pPr>
              <w:rPr>
                <w:rFonts w:cs="Arial"/>
                <w:sz w:val="20"/>
                <w:szCs w:val="20"/>
              </w:rPr>
            </w:pPr>
            <w:r w:rsidRPr="00653FCE">
              <w:rPr>
                <w:rFonts w:cs="Arial"/>
                <w:sz w:val="20"/>
                <w:szCs w:val="20"/>
              </w:rPr>
              <w:t>Referral (Score) = Referral to NHTP</w:t>
            </w:r>
          </w:p>
        </w:tc>
        <w:tc>
          <w:tcPr>
            <w:tcW w:w="679" w:type="dxa"/>
            <w:shd w:val="clear" w:color="auto" w:fill="92D050"/>
          </w:tcPr>
          <w:p w14:paraId="0E9F7E72" w14:textId="2CFF2B46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  <w:r w:rsidRPr="00653FC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828" w:type="dxa"/>
          </w:tcPr>
          <w:p w14:paraId="39CC5F6C" w14:textId="61C2F0DF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43" w:type="dxa"/>
          </w:tcPr>
          <w:p w14:paraId="01F946DA" w14:textId="77777777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1" w:type="dxa"/>
          </w:tcPr>
          <w:p w14:paraId="3119380F" w14:textId="3304CB08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39" w:type="dxa"/>
          </w:tcPr>
          <w:p w14:paraId="2F886FB7" w14:textId="77777777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A27AF" w14:paraId="1E39546F" w14:textId="77777777" w:rsidTr="00B06E24">
        <w:tc>
          <w:tcPr>
            <w:tcW w:w="6480" w:type="dxa"/>
          </w:tcPr>
          <w:p w14:paraId="6BC7B1A0" w14:textId="77777777" w:rsidR="002A27AF" w:rsidRPr="00653FCE" w:rsidRDefault="002A27AF" w:rsidP="002A27AF">
            <w:pPr>
              <w:rPr>
                <w:rFonts w:cs="Arial"/>
                <w:sz w:val="20"/>
                <w:szCs w:val="20"/>
              </w:rPr>
            </w:pPr>
            <w:r w:rsidRPr="00653FCE">
              <w:rPr>
                <w:rFonts w:cs="Arial"/>
                <w:sz w:val="20"/>
                <w:szCs w:val="20"/>
              </w:rPr>
              <w:t>Referral (Score) = Referral to OSCIL</w:t>
            </w:r>
          </w:p>
        </w:tc>
        <w:tc>
          <w:tcPr>
            <w:tcW w:w="679" w:type="dxa"/>
          </w:tcPr>
          <w:p w14:paraId="013219E9" w14:textId="77777777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92D050"/>
          </w:tcPr>
          <w:p w14:paraId="0832BD94" w14:textId="542BEACE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  <w:r w:rsidRPr="00653FC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943" w:type="dxa"/>
          </w:tcPr>
          <w:p w14:paraId="60D0284E" w14:textId="77777777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41" w:type="dxa"/>
          </w:tcPr>
          <w:p w14:paraId="66F634F8" w14:textId="48D07F4F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39" w:type="dxa"/>
          </w:tcPr>
          <w:p w14:paraId="0E5AF307" w14:textId="77777777" w:rsidR="002A27AF" w:rsidRPr="00653FCE" w:rsidRDefault="002A27AF" w:rsidP="002A27AF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53C0505C" w14:textId="5194044A" w:rsidR="00DE7C8D" w:rsidRPr="002A27AF" w:rsidRDefault="00DE7C8D" w:rsidP="00934C68">
      <w:pPr>
        <w:ind w:left="-450"/>
        <w:rPr>
          <w:sz w:val="22"/>
          <w:szCs w:val="22"/>
          <w:lang w:val="en-IN"/>
        </w:rPr>
      </w:pPr>
    </w:p>
    <w:sectPr w:rsidR="00DE7C8D" w:rsidRPr="002A27AF" w:rsidSect="00D3057B">
      <w:headerReference w:type="default" r:id="rId11"/>
      <w:footerReference w:type="default" r:id="rId12"/>
      <w:pgSz w:w="12240" w:h="15840"/>
      <w:pgMar w:top="1440" w:right="720" w:bottom="1440" w:left="99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3FD70" w14:textId="77777777" w:rsidR="005A2245" w:rsidRDefault="005A2245">
      <w:r>
        <w:separator/>
      </w:r>
    </w:p>
  </w:endnote>
  <w:endnote w:type="continuationSeparator" w:id="0">
    <w:p w14:paraId="285A01C6" w14:textId="77777777" w:rsidR="005A2245" w:rsidRDefault="005A2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75702205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410083779"/>
          <w:docPartObj>
            <w:docPartGallery w:val="Page Numbers (Top of Page)"/>
            <w:docPartUnique/>
          </w:docPartObj>
        </w:sdtPr>
        <w:sdtEndPr/>
        <w:sdtContent>
          <w:p w14:paraId="61233CEA" w14:textId="77777777" w:rsidR="00A52AFC" w:rsidRPr="00A52AFC" w:rsidRDefault="00A52AFC">
            <w:pPr>
              <w:pStyle w:val="Footer"/>
              <w:jc w:val="right"/>
              <w:rPr>
                <w:sz w:val="20"/>
                <w:szCs w:val="20"/>
              </w:rPr>
            </w:pPr>
            <w:r w:rsidRPr="00A52AFC">
              <w:rPr>
                <w:sz w:val="20"/>
                <w:szCs w:val="20"/>
              </w:rPr>
              <w:t xml:space="preserve">Page </w:t>
            </w:r>
            <w:r w:rsidRPr="00A52AFC">
              <w:rPr>
                <w:b/>
                <w:bCs/>
                <w:sz w:val="20"/>
                <w:szCs w:val="20"/>
              </w:rPr>
              <w:fldChar w:fldCharType="begin"/>
            </w:r>
            <w:r w:rsidRPr="00A52AFC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A52AFC">
              <w:rPr>
                <w:b/>
                <w:bCs/>
                <w:sz w:val="20"/>
                <w:szCs w:val="20"/>
              </w:rPr>
              <w:fldChar w:fldCharType="separate"/>
            </w:r>
            <w:r w:rsidR="00E31F86">
              <w:rPr>
                <w:b/>
                <w:bCs/>
                <w:noProof/>
                <w:sz w:val="20"/>
                <w:szCs w:val="20"/>
              </w:rPr>
              <w:t>1</w:t>
            </w:r>
            <w:r w:rsidRPr="00A52AFC">
              <w:rPr>
                <w:b/>
                <w:bCs/>
                <w:sz w:val="20"/>
                <w:szCs w:val="20"/>
              </w:rPr>
              <w:fldChar w:fldCharType="end"/>
            </w:r>
            <w:r w:rsidRPr="00A52AFC">
              <w:rPr>
                <w:sz w:val="20"/>
                <w:szCs w:val="20"/>
              </w:rPr>
              <w:t xml:space="preserve"> of </w:t>
            </w:r>
            <w:r w:rsidRPr="00A52AFC">
              <w:rPr>
                <w:b/>
                <w:bCs/>
                <w:sz w:val="20"/>
                <w:szCs w:val="20"/>
              </w:rPr>
              <w:fldChar w:fldCharType="begin"/>
            </w:r>
            <w:r w:rsidRPr="00A52AFC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A52AFC">
              <w:rPr>
                <w:b/>
                <w:bCs/>
                <w:sz w:val="20"/>
                <w:szCs w:val="20"/>
              </w:rPr>
              <w:fldChar w:fldCharType="separate"/>
            </w:r>
            <w:r w:rsidR="00E31F86">
              <w:rPr>
                <w:b/>
                <w:bCs/>
                <w:noProof/>
                <w:sz w:val="20"/>
                <w:szCs w:val="20"/>
              </w:rPr>
              <w:t>1</w:t>
            </w:r>
            <w:r w:rsidRPr="00A52AF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B3CBA" w14:textId="77777777" w:rsidR="005A2245" w:rsidRDefault="005A2245">
      <w:r>
        <w:separator/>
      </w:r>
    </w:p>
  </w:footnote>
  <w:footnote w:type="continuationSeparator" w:id="0">
    <w:p w14:paraId="2FBA9F98" w14:textId="77777777" w:rsidR="005A2245" w:rsidRDefault="005A2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D9203" w14:textId="5C98EE9A" w:rsidR="00D3057B" w:rsidRPr="00D3057B" w:rsidRDefault="00D3057B" w:rsidP="00D3057B">
    <w:pPr>
      <w:outlineLvl w:val="0"/>
      <w:rPr>
        <w:rFonts w:cs="Arial"/>
        <w:b/>
        <w:bCs/>
      </w:rPr>
    </w:pPr>
    <w:r w:rsidRPr="00EA07AB">
      <w:rPr>
        <w:noProof/>
        <w:color w:val="4A6813" w:themeColor="text2" w:themeShade="BF"/>
        <w:sz w:val="48"/>
        <w:szCs w:val="48"/>
      </w:rPr>
      <w:drawing>
        <wp:anchor distT="0" distB="0" distL="114300" distR="114300" simplePos="0" relativeHeight="251659264" behindDoc="0" locked="0" layoutInCell="1" allowOverlap="1" wp14:anchorId="3E81562C" wp14:editId="09EDA02A">
          <wp:simplePos x="0" y="0"/>
          <wp:positionH relativeFrom="page">
            <wp:posOffset>369415</wp:posOffset>
          </wp:positionH>
          <wp:positionV relativeFrom="paragraph">
            <wp:posOffset>-197581</wp:posOffset>
          </wp:positionV>
          <wp:extent cx="840244" cy="758825"/>
          <wp:effectExtent l="0" t="0" r="0" b="3175"/>
          <wp:wrapSquare wrapText="bothSides"/>
          <wp:docPr id="8" name="Picture 8" descr="J:\OHHS\FORMS POLICIES AND PROCEDURES\Templates\OHH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OHHS\FORMS POLICIES AND PROCEDURES\Templates\OHHS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244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057B">
      <w:rPr>
        <w:b/>
        <w:bCs/>
      </w:rPr>
      <w:t>Rhode Island’s Executive Office of Health and Human Services</w:t>
    </w:r>
  </w:p>
  <w:p w14:paraId="389197E4" w14:textId="69B60368" w:rsidR="00D271F3" w:rsidRPr="00A52AFC" w:rsidRDefault="00541C49" w:rsidP="00D3057B">
    <w:pPr>
      <w:ind w:left="-450"/>
      <w:outlineLvl w:val="0"/>
      <w:rPr>
        <w:rFonts w:cs="Arial"/>
        <w:b/>
      </w:rPr>
    </w:pPr>
    <w:r>
      <w:rPr>
        <w:rFonts w:cs="Arial"/>
        <w:b/>
      </w:rPr>
      <w:t>Policy</w:t>
    </w:r>
    <w:r w:rsidRPr="00A52AFC">
      <w:rPr>
        <w:rFonts w:cs="Arial"/>
        <w:b/>
      </w:rPr>
      <w:t xml:space="preserve"> </w:t>
    </w:r>
    <w:r w:rsidR="00A52AFC" w:rsidRPr="00A52AFC">
      <w:rPr>
        <w:rFonts w:cs="Arial"/>
        <w:b/>
      </w:rPr>
      <w:t>Memo</w:t>
    </w:r>
  </w:p>
  <w:p w14:paraId="447CDFD1" w14:textId="77777777" w:rsidR="00D271F3" w:rsidRPr="00FC1321" w:rsidRDefault="00D271F3" w:rsidP="00744C37">
    <w:pPr>
      <w:pStyle w:val="Header"/>
      <w:ind w:left="-450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44457"/>
    <w:multiLevelType w:val="hybridMultilevel"/>
    <w:tmpl w:val="13F02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F2D41"/>
    <w:multiLevelType w:val="hybridMultilevel"/>
    <w:tmpl w:val="861C84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2236C"/>
    <w:multiLevelType w:val="hybridMultilevel"/>
    <w:tmpl w:val="6EC2A8E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9301DD9"/>
    <w:multiLevelType w:val="hybridMultilevel"/>
    <w:tmpl w:val="AEC692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803EF"/>
    <w:multiLevelType w:val="hybridMultilevel"/>
    <w:tmpl w:val="0D30680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B681FCC"/>
    <w:multiLevelType w:val="hybridMultilevel"/>
    <w:tmpl w:val="FDE283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32C4D"/>
    <w:multiLevelType w:val="hybridMultilevel"/>
    <w:tmpl w:val="82F6A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432D6"/>
    <w:multiLevelType w:val="hybridMultilevel"/>
    <w:tmpl w:val="F21A98A6"/>
    <w:lvl w:ilvl="0" w:tplc="04090003">
      <w:start w:val="1"/>
      <w:numFmt w:val="bullet"/>
      <w:lvlText w:val="o"/>
      <w:lvlJc w:val="left"/>
      <w:pPr>
        <w:ind w:left="7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8" w15:restartNumberingAfterBreak="0">
    <w:nsid w:val="30502661"/>
    <w:multiLevelType w:val="hybridMultilevel"/>
    <w:tmpl w:val="222E8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032E8"/>
    <w:multiLevelType w:val="hybridMultilevel"/>
    <w:tmpl w:val="36523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41FD6"/>
    <w:multiLevelType w:val="hybridMultilevel"/>
    <w:tmpl w:val="10FC04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34DE6494"/>
    <w:multiLevelType w:val="hybridMultilevel"/>
    <w:tmpl w:val="E4C05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42536"/>
    <w:multiLevelType w:val="hybridMultilevel"/>
    <w:tmpl w:val="C02A97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F1F8D"/>
    <w:multiLevelType w:val="hybridMultilevel"/>
    <w:tmpl w:val="707A71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C34D4"/>
    <w:multiLevelType w:val="hybridMultilevel"/>
    <w:tmpl w:val="6E2035D8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" w15:restartNumberingAfterBreak="0">
    <w:nsid w:val="3E5D41D0"/>
    <w:multiLevelType w:val="hybridMultilevel"/>
    <w:tmpl w:val="323212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D58B4"/>
    <w:multiLevelType w:val="hybridMultilevel"/>
    <w:tmpl w:val="6E2035D8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7" w15:restartNumberingAfterBreak="0">
    <w:nsid w:val="430C658E"/>
    <w:multiLevelType w:val="hybridMultilevel"/>
    <w:tmpl w:val="EDEC3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27839"/>
    <w:multiLevelType w:val="hybridMultilevel"/>
    <w:tmpl w:val="DFB6DB5A"/>
    <w:lvl w:ilvl="0" w:tplc="04090003">
      <w:start w:val="1"/>
      <w:numFmt w:val="bullet"/>
      <w:lvlText w:val="o"/>
      <w:lvlJc w:val="left"/>
      <w:pPr>
        <w:ind w:left="70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9" w15:restartNumberingAfterBreak="0">
    <w:nsid w:val="4B617D24"/>
    <w:multiLevelType w:val="hybridMultilevel"/>
    <w:tmpl w:val="F1ECB03E"/>
    <w:lvl w:ilvl="0" w:tplc="DC3EE5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E250D6"/>
    <w:multiLevelType w:val="hybridMultilevel"/>
    <w:tmpl w:val="2120414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23A10"/>
    <w:multiLevelType w:val="hybridMultilevel"/>
    <w:tmpl w:val="90405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75D32"/>
    <w:multiLevelType w:val="hybridMultilevel"/>
    <w:tmpl w:val="F1ECB03E"/>
    <w:lvl w:ilvl="0" w:tplc="DC3EE5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197799"/>
    <w:multiLevelType w:val="hybridMultilevel"/>
    <w:tmpl w:val="00620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BBEE95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5265C"/>
    <w:multiLevelType w:val="hybridMultilevel"/>
    <w:tmpl w:val="C55A9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78782D"/>
    <w:multiLevelType w:val="hybridMultilevel"/>
    <w:tmpl w:val="C02A97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318BD"/>
    <w:multiLevelType w:val="hybridMultilevel"/>
    <w:tmpl w:val="CCA43EA6"/>
    <w:lvl w:ilvl="0" w:tplc="D7649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BBEE95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07A10"/>
    <w:multiLevelType w:val="hybridMultilevel"/>
    <w:tmpl w:val="11EA88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633D9"/>
    <w:multiLevelType w:val="hybridMultilevel"/>
    <w:tmpl w:val="A1A859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F3157"/>
    <w:multiLevelType w:val="hybridMultilevel"/>
    <w:tmpl w:val="0AF6CF0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2DF2CE4"/>
    <w:multiLevelType w:val="hybridMultilevel"/>
    <w:tmpl w:val="109ECF68"/>
    <w:lvl w:ilvl="0" w:tplc="60AE788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A170F34"/>
    <w:multiLevelType w:val="hybridMultilevel"/>
    <w:tmpl w:val="ADB4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E847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745A4E"/>
    <w:multiLevelType w:val="hybridMultilevel"/>
    <w:tmpl w:val="7BA83E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2"/>
  </w:num>
  <w:num w:numId="3">
    <w:abstractNumId w:val="3"/>
  </w:num>
  <w:num w:numId="4">
    <w:abstractNumId w:val="25"/>
  </w:num>
  <w:num w:numId="5">
    <w:abstractNumId w:val="6"/>
  </w:num>
  <w:num w:numId="6">
    <w:abstractNumId w:val="9"/>
  </w:num>
  <w:num w:numId="7">
    <w:abstractNumId w:val="13"/>
  </w:num>
  <w:num w:numId="8">
    <w:abstractNumId w:val="17"/>
  </w:num>
  <w:num w:numId="9">
    <w:abstractNumId w:val="1"/>
  </w:num>
  <w:num w:numId="10">
    <w:abstractNumId w:val="32"/>
  </w:num>
  <w:num w:numId="11">
    <w:abstractNumId w:val="5"/>
  </w:num>
  <w:num w:numId="12">
    <w:abstractNumId w:val="22"/>
  </w:num>
  <w:num w:numId="13">
    <w:abstractNumId w:val="0"/>
  </w:num>
  <w:num w:numId="14">
    <w:abstractNumId w:val="20"/>
  </w:num>
  <w:num w:numId="15">
    <w:abstractNumId w:val="3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1"/>
  </w:num>
  <w:num w:numId="19">
    <w:abstractNumId w:val="21"/>
  </w:num>
  <w:num w:numId="20">
    <w:abstractNumId w:val="7"/>
  </w:num>
  <w:num w:numId="21">
    <w:abstractNumId w:val="18"/>
  </w:num>
  <w:num w:numId="22">
    <w:abstractNumId w:val="19"/>
  </w:num>
  <w:num w:numId="23">
    <w:abstractNumId w:val="15"/>
  </w:num>
  <w:num w:numId="24">
    <w:abstractNumId w:val="27"/>
  </w:num>
  <w:num w:numId="25">
    <w:abstractNumId w:val="10"/>
  </w:num>
  <w:num w:numId="26">
    <w:abstractNumId w:val="29"/>
  </w:num>
  <w:num w:numId="27">
    <w:abstractNumId w:val="24"/>
  </w:num>
  <w:num w:numId="28">
    <w:abstractNumId w:val="8"/>
  </w:num>
  <w:num w:numId="29">
    <w:abstractNumId w:val="16"/>
  </w:num>
  <w:num w:numId="30">
    <w:abstractNumId w:val="14"/>
  </w:num>
  <w:num w:numId="31">
    <w:abstractNumId w:val="23"/>
  </w:num>
  <w:num w:numId="32">
    <w:abstractNumId w:val="4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DD7"/>
    <w:rsid w:val="000003CD"/>
    <w:rsid w:val="00002C11"/>
    <w:rsid w:val="00002FCA"/>
    <w:rsid w:val="000079D0"/>
    <w:rsid w:val="00015755"/>
    <w:rsid w:val="00022482"/>
    <w:rsid w:val="000308CF"/>
    <w:rsid w:val="00032228"/>
    <w:rsid w:val="000425F3"/>
    <w:rsid w:val="00044D10"/>
    <w:rsid w:val="00044EAB"/>
    <w:rsid w:val="00054510"/>
    <w:rsid w:val="00054FA9"/>
    <w:rsid w:val="000720B9"/>
    <w:rsid w:val="00073099"/>
    <w:rsid w:val="000732A5"/>
    <w:rsid w:val="00075E36"/>
    <w:rsid w:val="00081381"/>
    <w:rsid w:val="0008535B"/>
    <w:rsid w:val="0008776F"/>
    <w:rsid w:val="000A2473"/>
    <w:rsid w:val="000B15C4"/>
    <w:rsid w:val="000B3D78"/>
    <w:rsid w:val="000C1CF7"/>
    <w:rsid w:val="000C7FAC"/>
    <w:rsid w:val="000D77CE"/>
    <w:rsid w:val="000E1099"/>
    <w:rsid w:val="000E23C0"/>
    <w:rsid w:val="000E483F"/>
    <w:rsid w:val="000F598A"/>
    <w:rsid w:val="000F5C19"/>
    <w:rsid w:val="00103F8B"/>
    <w:rsid w:val="00107CE5"/>
    <w:rsid w:val="00117E36"/>
    <w:rsid w:val="00122CDE"/>
    <w:rsid w:val="00124405"/>
    <w:rsid w:val="00124800"/>
    <w:rsid w:val="001433B4"/>
    <w:rsid w:val="001476F3"/>
    <w:rsid w:val="00152B27"/>
    <w:rsid w:val="00164AE6"/>
    <w:rsid w:val="00167028"/>
    <w:rsid w:val="001718D7"/>
    <w:rsid w:val="001725A6"/>
    <w:rsid w:val="00180950"/>
    <w:rsid w:val="00192C54"/>
    <w:rsid w:val="00193B58"/>
    <w:rsid w:val="001A0A85"/>
    <w:rsid w:val="001A2898"/>
    <w:rsid w:val="001A3210"/>
    <w:rsid w:val="001B6867"/>
    <w:rsid w:val="001D0366"/>
    <w:rsid w:val="001D5A8F"/>
    <w:rsid w:val="001D6122"/>
    <w:rsid w:val="001D6EF9"/>
    <w:rsid w:val="001D764C"/>
    <w:rsid w:val="001E65A2"/>
    <w:rsid w:val="001F26F3"/>
    <w:rsid w:val="001F5C2F"/>
    <w:rsid w:val="00202737"/>
    <w:rsid w:val="00206980"/>
    <w:rsid w:val="00210873"/>
    <w:rsid w:val="00211602"/>
    <w:rsid w:val="0023407E"/>
    <w:rsid w:val="0023561D"/>
    <w:rsid w:val="00242EDD"/>
    <w:rsid w:val="00253AD1"/>
    <w:rsid w:val="00257B7A"/>
    <w:rsid w:val="002759C0"/>
    <w:rsid w:val="00283237"/>
    <w:rsid w:val="00283C60"/>
    <w:rsid w:val="00291899"/>
    <w:rsid w:val="0029265E"/>
    <w:rsid w:val="002A27AF"/>
    <w:rsid w:val="002A4517"/>
    <w:rsid w:val="002A4957"/>
    <w:rsid w:val="002B36ED"/>
    <w:rsid w:val="002C5BFC"/>
    <w:rsid w:val="002D1AFF"/>
    <w:rsid w:val="002D4826"/>
    <w:rsid w:val="00300EF0"/>
    <w:rsid w:val="00303023"/>
    <w:rsid w:val="00306F33"/>
    <w:rsid w:val="003072CE"/>
    <w:rsid w:val="00313588"/>
    <w:rsid w:val="00313E00"/>
    <w:rsid w:val="00314471"/>
    <w:rsid w:val="003218FC"/>
    <w:rsid w:val="00323D26"/>
    <w:rsid w:val="00331E44"/>
    <w:rsid w:val="00341E21"/>
    <w:rsid w:val="00351DD9"/>
    <w:rsid w:val="003557D6"/>
    <w:rsid w:val="0036063A"/>
    <w:rsid w:val="00361167"/>
    <w:rsid w:val="003759B6"/>
    <w:rsid w:val="0038044D"/>
    <w:rsid w:val="003A1115"/>
    <w:rsid w:val="003B1041"/>
    <w:rsid w:val="003C76A2"/>
    <w:rsid w:val="003E0560"/>
    <w:rsid w:val="003E476D"/>
    <w:rsid w:val="003F2BCC"/>
    <w:rsid w:val="003F55E2"/>
    <w:rsid w:val="003F7BA2"/>
    <w:rsid w:val="004119C1"/>
    <w:rsid w:val="00411AC1"/>
    <w:rsid w:val="00412669"/>
    <w:rsid w:val="00425C14"/>
    <w:rsid w:val="00426A1B"/>
    <w:rsid w:val="00437E93"/>
    <w:rsid w:val="00441727"/>
    <w:rsid w:val="00460788"/>
    <w:rsid w:val="0046759E"/>
    <w:rsid w:val="00472B6F"/>
    <w:rsid w:val="004852C6"/>
    <w:rsid w:val="004A31D8"/>
    <w:rsid w:val="004C7AE9"/>
    <w:rsid w:val="004D2646"/>
    <w:rsid w:val="004D5F28"/>
    <w:rsid w:val="004D6717"/>
    <w:rsid w:val="004D7B96"/>
    <w:rsid w:val="004E3D18"/>
    <w:rsid w:val="004E407B"/>
    <w:rsid w:val="00500BCE"/>
    <w:rsid w:val="005315C8"/>
    <w:rsid w:val="00540D25"/>
    <w:rsid w:val="00541C49"/>
    <w:rsid w:val="005525A3"/>
    <w:rsid w:val="00554845"/>
    <w:rsid w:val="00561F50"/>
    <w:rsid w:val="00571E89"/>
    <w:rsid w:val="005939B1"/>
    <w:rsid w:val="00594E22"/>
    <w:rsid w:val="005A2245"/>
    <w:rsid w:val="005A5EB1"/>
    <w:rsid w:val="005B41ED"/>
    <w:rsid w:val="005C3FAD"/>
    <w:rsid w:val="005C646F"/>
    <w:rsid w:val="005D6319"/>
    <w:rsid w:val="005D7DA2"/>
    <w:rsid w:val="005E55F1"/>
    <w:rsid w:val="005F29B0"/>
    <w:rsid w:val="00600A90"/>
    <w:rsid w:val="0060353C"/>
    <w:rsid w:val="006110C5"/>
    <w:rsid w:val="00616E9E"/>
    <w:rsid w:val="006265A0"/>
    <w:rsid w:val="00635723"/>
    <w:rsid w:val="00635759"/>
    <w:rsid w:val="006469EF"/>
    <w:rsid w:val="006628D2"/>
    <w:rsid w:val="00682E78"/>
    <w:rsid w:val="00686F26"/>
    <w:rsid w:val="00696E09"/>
    <w:rsid w:val="006A5709"/>
    <w:rsid w:val="006A7B0C"/>
    <w:rsid w:val="006C77A6"/>
    <w:rsid w:val="006F046B"/>
    <w:rsid w:val="00702212"/>
    <w:rsid w:val="0072644E"/>
    <w:rsid w:val="00730204"/>
    <w:rsid w:val="00733DC2"/>
    <w:rsid w:val="00742ED8"/>
    <w:rsid w:val="00744C37"/>
    <w:rsid w:val="00760293"/>
    <w:rsid w:val="00764E59"/>
    <w:rsid w:val="00775A4A"/>
    <w:rsid w:val="00786081"/>
    <w:rsid w:val="0079548B"/>
    <w:rsid w:val="007A3B79"/>
    <w:rsid w:val="007B1797"/>
    <w:rsid w:val="007C5A65"/>
    <w:rsid w:val="007D46A1"/>
    <w:rsid w:val="007D7643"/>
    <w:rsid w:val="007E6B41"/>
    <w:rsid w:val="007E6FE5"/>
    <w:rsid w:val="007F3422"/>
    <w:rsid w:val="007F367D"/>
    <w:rsid w:val="007F395D"/>
    <w:rsid w:val="007F51F6"/>
    <w:rsid w:val="0080374A"/>
    <w:rsid w:val="0081225E"/>
    <w:rsid w:val="00813DDD"/>
    <w:rsid w:val="008309E6"/>
    <w:rsid w:val="00830CDA"/>
    <w:rsid w:val="00832DC2"/>
    <w:rsid w:val="00833D7E"/>
    <w:rsid w:val="00836CA6"/>
    <w:rsid w:val="00843BA1"/>
    <w:rsid w:val="0086048D"/>
    <w:rsid w:val="008626D6"/>
    <w:rsid w:val="0087139F"/>
    <w:rsid w:val="008814ED"/>
    <w:rsid w:val="008861CF"/>
    <w:rsid w:val="0088795C"/>
    <w:rsid w:val="00896BB2"/>
    <w:rsid w:val="008B4FE2"/>
    <w:rsid w:val="008B67DD"/>
    <w:rsid w:val="008B6DD4"/>
    <w:rsid w:val="008C4DDB"/>
    <w:rsid w:val="008D0986"/>
    <w:rsid w:val="008D2697"/>
    <w:rsid w:val="008D5765"/>
    <w:rsid w:val="008E5054"/>
    <w:rsid w:val="008F2858"/>
    <w:rsid w:val="008F2D67"/>
    <w:rsid w:val="008F3DB0"/>
    <w:rsid w:val="0090189C"/>
    <w:rsid w:val="009058D2"/>
    <w:rsid w:val="00923731"/>
    <w:rsid w:val="00926A1B"/>
    <w:rsid w:val="00934C68"/>
    <w:rsid w:val="00941274"/>
    <w:rsid w:val="00947EF8"/>
    <w:rsid w:val="00951BEE"/>
    <w:rsid w:val="00971A85"/>
    <w:rsid w:val="00983852"/>
    <w:rsid w:val="009907CC"/>
    <w:rsid w:val="00994556"/>
    <w:rsid w:val="009A1F25"/>
    <w:rsid w:val="009A215C"/>
    <w:rsid w:val="009A6A7E"/>
    <w:rsid w:val="009B24BC"/>
    <w:rsid w:val="009B4E31"/>
    <w:rsid w:val="009C0E05"/>
    <w:rsid w:val="009C4D48"/>
    <w:rsid w:val="009C5A51"/>
    <w:rsid w:val="009C7AA4"/>
    <w:rsid w:val="009E2C0D"/>
    <w:rsid w:val="009E47C9"/>
    <w:rsid w:val="009F0938"/>
    <w:rsid w:val="009F45FE"/>
    <w:rsid w:val="009F739E"/>
    <w:rsid w:val="00A0768F"/>
    <w:rsid w:val="00A10A20"/>
    <w:rsid w:val="00A209E2"/>
    <w:rsid w:val="00A20F1E"/>
    <w:rsid w:val="00A265F8"/>
    <w:rsid w:val="00A31E1D"/>
    <w:rsid w:val="00A36AA2"/>
    <w:rsid w:val="00A50914"/>
    <w:rsid w:val="00A52AFC"/>
    <w:rsid w:val="00A53F47"/>
    <w:rsid w:val="00A54528"/>
    <w:rsid w:val="00A54D46"/>
    <w:rsid w:val="00A65479"/>
    <w:rsid w:val="00A65BA8"/>
    <w:rsid w:val="00A74EBD"/>
    <w:rsid w:val="00A76F33"/>
    <w:rsid w:val="00A80332"/>
    <w:rsid w:val="00A82FB4"/>
    <w:rsid w:val="00A860DA"/>
    <w:rsid w:val="00A957E2"/>
    <w:rsid w:val="00A97F94"/>
    <w:rsid w:val="00AA0377"/>
    <w:rsid w:val="00AA6D4D"/>
    <w:rsid w:val="00AD1D7B"/>
    <w:rsid w:val="00AE0245"/>
    <w:rsid w:val="00AE6978"/>
    <w:rsid w:val="00B02462"/>
    <w:rsid w:val="00B04684"/>
    <w:rsid w:val="00B06E24"/>
    <w:rsid w:val="00B0790F"/>
    <w:rsid w:val="00B1037F"/>
    <w:rsid w:val="00B110D5"/>
    <w:rsid w:val="00B2386B"/>
    <w:rsid w:val="00B24CCA"/>
    <w:rsid w:val="00B3317E"/>
    <w:rsid w:val="00B34AE2"/>
    <w:rsid w:val="00B34F95"/>
    <w:rsid w:val="00B36EE9"/>
    <w:rsid w:val="00B454FB"/>
    <w:rsid w:val="00B563FB"/>
    <w:rsid w:val="00B649B0"/>
    <w:rsid w:val="00B66EEA"/>
    <w:rsid w:val="00B70071"/>
    <w:rsid w:val="00B734C6"/>
    <w:rsid w:val="00B76CE0"/>
    <w:rsid w:val="00B77BFE"/>
    <w:rsid w:val="00B81248"/>
    <w:rsid w:val="00B85CFE"/>
    <w:rsid w:val="00BB0FE6"/>
    <w:rsid w:val="00BB15E8"/>
    <w:rsid w:val="00BC578A"/>
    <w:rsid w:val="00BE03EA"/>
    <w:rsid w:val="00BE2D02"/>
    <w:rsid w:val="00BF19A8"/>
    <w:rsid w:val="00BF3B1C"/>
    <w:rsid w:val="00C22DD7"/>
    <w:rsid w:val="00C25CFE"/>
    <w:rsid w:val="00C26882"/>
    <w:rsid w:val="00C40837"/>
    <w:rsid w:val="00C508B1"/>
    <w:rsid w:val="00C63253"/>
    <w:rsid w:val="00C6727F"/>
    <w:rsid w:val="00C70623"/>
    <w:rsid w:val="00C73917"/>
    <w:rsid w:val="00C8366B"/>
    <w:rsid w:val="00C9092D"/>
    <w:rsid w:val="00C95D95"/>
    <w:rsid w:val="00CB16A4"/>
    <w:rsid w:val="00CB718D"/>
    <w:rsid w:val="00CD0E71"/>
    <w:rsid w:val="00CD6A43"/>
    <w:rsid w:val="00CE5BD5"/>
    <w:rsid w:val="00CE7CD8"/>
    <w:rsid w:val="00CF0819"/>
    <w:rsid w:val="00CF126B"/>
    <w:rsid w:val="00CF69A1"/>
    <w:rsid w:val="00CF7D5A"/>
    <w:rsid w:val="00D0353C"/>
    <w:rsid w:val="00D271F3"/>
    <w:rsid w:val="00D27D7F"/>
    <w:rsid w:val="00D3057B"/>
    <w:rsid w:val="00D34289"/>
    <w:rsid w:val="00D45A4A"/>
    <w:rsid w:val="00D45F99"/>
    <w:rsid w:val="00D51868"/>
    <w:rsid w:val="00D550D6"/>
    <w:rsid w:val="00D668BA"/>
    <w:rsid w:val="00D7768C"/>
    <w:rsid w:val="00D7771F"/>
    <w:rsid w:val="00D77EE7"/>
    <w:rsid w:val="00D83C4D"/>
    <w:rsid w:val="00DA0DEE"/>
    <w:rsid w:val="00DA1370"/>
    <w:rsid w:val="00DA1418"/>
    <w:rsid w:val="00DB67FC"/>
    <w:rsid w:val="00DC25E6"/>
    <w:rsid w:val="00DC5349"/>
    <w:rsid w:val="00DC7CBA"/>
    <w:rsid w:val="00DD0EB3"/>
    <w:rsid w:val="00DD2CE2"/>
    <w:rsid w:val="00DD449E"/>
    <w:rsid w:val="00DE5B38"/>
    <w:rsid w:val="00DE7C8D"/>
    <w:rsid w:val="00DF2EF6"/>
    <w:rsid w:val="00DF4651"/>
    <w:rsid w:val="00DF5218"/>
    <w:rsid w:val="00E037DE"/>
    <w:rsid w:val="00E10589"/>
    <w:rsid w:val="00E11CA7"/>
    <w:rsid w:val="00E20595"/>
    <w:rsid w:val="00E31F86"/>
    <w:rsid w:val="00E364F5"/>
    <w:rsid w:val="00E4458A"/>
    <w:rsid w:val="00E44D57"/>
    <w:rsid w:val="00E50389"/>
    <w:rsid w:val="00E62EE6"/>
    <w:rsid w:val="00E64A24"/>
    <w:rsid w:val="00E722B5"/>
    <w:rsid w:val="00E74E92"/>
    <w:rsid w:val="00E84CDD"/>
    <w:rsid w:val="00E87371"/>
    <w:rsid w:val="00E91697"/>
    <w:rsid w:val="00EE3075"/>
    <w:rsid w:val="00EF05A4"/>
    <w:rsid w:val="00EF58A1"/>
    <w:rsid w:val="00F0789E"/>
    <w:rsid w:val="00F14E2B"/>
    <w:rsid w:val="00F16C6D"/>
    <w:rsid w:val="00F2041A"/>
    <w:rsid w:val="00F21E09"/>
    <w:rsid w:val="00F23B58"/>
    <w:rsid w:val="00F23CD1"/>
    <w:rsid w:val="00F33BAB"/>
    <w:rsid w:val="00F37693"/>
    <w:rsid w:val="00F47E78"/>
    <w:rsid w:val="00F6717B"/>
    <w:rsid w:val="00F75D20"/>
    <w:rsid w:val="00F84C16"/>
    <w:rsid w:val="00F8554D"/>
    <w:rsid w:val="00FA16D6"/>
    <w:rsid w:val="00FA23CA"/>
    <w:rsid w:val="00FB1E58"/>
    <w:rsid w:val="00FB454F"/>
    <w:rsid w:val="00FB6A18"/>
    <w:rsid w:val="00FB767C"/>
    <w:rsid w:val="00FC0313"/>
    <w:rsid w:val="00FC2873"/>
    <w:rsid w:val="00FC6538"/>
    <w:rsid w:val="00FC7BDF"/>
    <w:rsid w:val="00FD36B1"/>
    <w:rsid w:val="00FD5EC3"/>
    <w:rsid w:val="00FD7511"/>
    <w:rsid w:val="00FE65F0"/>
    <w:rsid w:val="00FF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5305A"/>
  <w15:chartTrackingRefBased/>
  <w15:docId w15:val="{ABB51316-7D49-4C21-B47B-7A70F4C7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Cs w:val="40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DD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03CD"/>
    <w:pPr>
      <w:keepNext/>
      <w:keepLines/>
      <w:spacing w:before="240"/>
      <w:outlineLvl w:val="0"/>
    </w:pPr>
    <w:rPr>
      <w:rFonts w:eastAsiaTheme="majorEastAsia" w:cstheme="majorBidi"/>
      <w:color w:val="3F4042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3CD"/>
    <w:pPr>
      <w:keepNext/>
      <w:keepLines/>
      <w:spacing w:before="40"/>
      <w:outlineLvl w:val="1"/>
    </w:pPr>
    <w:rPr>
      <w:rFonts w:eastAsiaTheme="majorEastAsia" w:cstheme="majorBidi"/>
      <w:color w:val="3F4042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03CD"/>
    <w:pPr>
      <w:keepNext/>
      <w:keepLines/>
      <w:spacing w:before="40"/>
      <w:outlineLvl w:val="2"/>
    </w:pPr>
    <w:rPr>
      <w:rFonts w:eastAsiaTheme="majorEastAsia" w:cstheme="majorBidi"/>
      <w:color w:val="2A2B2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03C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0003CD"/>
    <w:rPr>
      <w:rFonts w:ascii="Arial" w:eastAsiaTheme="majorEastAsia" w:hAnsi="Arial" w:cstheme="majorBidi"/>
      <w:color w:val="3F4042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0003CD"/>
    <w:rPr>
      <w:rFonts w:ascii="Arial" w:eastAsiaTheme="majorEastAsia" w:hAnsi="Arial" w:cstheme="majorBidi"/>
      <w:color w:val="2A2B2C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03CD"/>
    <w:rPr>
      <w:rFonts w:ascii="Arial" w:eastAsiaTheme="majorEastAsia" w:hAnsi="Arial" w:cstheme="majorBidi"/>
      <w:color w:val="3F4042" w:themeColor="accent1" w:themeShade="BF"/>
      <w:sz w:val="32"/>
      <w:szCs w:val="32"/>
    </w:rPr>
  </w:style>
  <w:style w:type="character" w:styleId="SubtleReference">
    <w:name w:val="Subtle Reference"/>
    <w:basedOn w:val="DefaultParagraphFont"/>
    <w:uiPriority w:val="31"/>
    <w:qFormat/>
    <w:rsid w:val="000003CD"/>
    <w:rPr>
      <w:smallCaps/>
      <w:color w:val="8F9294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0003CD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3C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3CD"/>
    <w:pPr>
      <w:numPr>
        <w:ilvl w:val="1"/>
      </w:numPr>
    </w:pPr>
    <w:rPr>
      <w:rFonts w:asciiTheme="minorHAnsi" w:eastAsiaTheme="minorEastAsia" w:hAnsiTheme="minorHAnsi" w:cstheme="minorBidi"/>
      <w:color w:val="8F9294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003CD"/>
    <w:rPr>
      <w:rFonts w:eastAsiaTheme="minorEastAsia"/>
      <w:color w:val="8F9294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0003CD"/>
    <w:rPr>
      <w:i/>
      <w:iCs/>
      <w:color w:val="7E8084" w:themeColor="text1" w:themeTint="BF"/>
    </w:rPr>
  </w:style>
  <w:style w:type="character" w:styleId="Emphasis">
    <w:name w:val="Emphasis"/>
    <w:basedOn w:val="DefaultParagraphFont"/>
    <w:uiPriority w:val="20"/>
    <w:qFormat/>
    <w:rsid w:val="000003C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003CD"/>
    <w:rPr>
      <w:i/>
      <w:iCs/>
      <w:color w:val="555759" w:themeColor="accent1"/>
    </w:rPr>
  </w:style>
  <w:style w:type="character" w:styleId="Strong">
    <w:name w:val="Strong"/>
    <w:basedOn w:val="DefaultParagraphFont"/>
    <w:uiPriority w:val="22"/>
    <w:qFormat/>
    <w:rsid w:val="000003C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003CD"/>
    <w:pPr>
      <w:spacing w:before="200"/>
      <w:ind w:left="864" w:right="864"/>
      <w:jc w:val="center"/>
    </w:pPr>
    <w:rPr>
      <w:i/>
      <w:iCs/>
      <w:color w:val="7E808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3CD"/>
    <w:rPr>
      <w:rFonts w:ascii="Arial" w:hAnsi="Arial" w:cs="Arial"/>
      <w:i/>
      <w:iCs/>
      <w:color w:val="7E8084" w:themeColor="text1" w:themeTint="BF"/>
      <w:sz w:val="20"/>
      <w:szCs w:val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3CD"/>
    <w:pPr>
      <w:pBdr>
        <w:top w:val="single" w:sz="4" w:space="10" w:color="555759" w:themeColor="accent1"/>
        <w:bottom w:val="single" w:sz="4" w:space="10" w:color="555759" w:themeColor="accent1"/>
      </w:pBdr>
      <w:spacing w:before="360" w:after="360"/>
      <w:ind w:left="864" w:right="864"/>
      <w:jc w:val="center"/>
    </w:pPr>
    <w:rPr>
      <w:i/>
      <w:iCs/>
      <w:color w:val="55575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3CD"/>
    <w:rPr>
      <w:rFonts w:ascii="Arial" w:hAnsi="Arial" w:cs="Arial"/>
      <w:i/>
      <w:iCs/>
      <w:color w:val="555759" w:themeColor="accent1"/>
      <w:sz w:val="20"/>
      <w:szCs w:val="40"/>
    </w:rPr>
  </w:style>
  <w:style w:type="character" w:styleId="IntenseReference">
    <w:name w:val="Intense Reference"/>
    <w:basedOn w:val="DefaultParagraphFont"/>
    <w:uiPriority w:val="32"/>
    <w:qFormat/>
    <w:rsid w:val="000003CD"/>
    <w:rPr>
      <w:b/>
      <w:bCs/>
      <w:smallCaps/>
      <w:color w:val="555759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0003CD"/>
    <w:rPr>
      <w:b/>
      <w:bCs/>
      <w:i/>
      <w:iCs/>
      <w:spacing w:val="5"/>
    </w:rPr>
  </w:style>
  <w:style w:type="paragraph" w:styleId="ListParagraph">
    <w:name w:val="List Paragraph"/>
    <w:aliases w:val="Proposal List Paragraph,Response Bullets,Bullet Two,Level 2 List,Sub bullet,Numbered Standard"/>
    <w:basedOn w:val="Normal"/>
    <w:link w:val="ListParagraphChar"/>
    <w:uiPriority w:val="34"/>
    <w:qFormat/>
    <w:rsid w:val="000003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03CD"/>
    <w:rPr>
      <w:color w:val="0093C9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03CD"/>
    <w:rPr>
      <w:color w:val="8B189B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2DD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22DD7"/>
    <w:rPr>
      <w:rFonts w:eastAsia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C22DD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22DD7"/>
    <w:rPr>
      <w:rFonts w:eastAsia="Times New Roman" w:cs="Times New Roman"/>
      <w:sz w:val="24"/>
      <w:szCs w:val="24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54D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D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D46"/>
    <w:rPr>
      <w:rFonts w:eastAsia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D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D46"/>
    <w:rPr>
      <w:rFonts w:eastAsia="Times New Roman" w:cs="Times New Roman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D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46"/>
    <w:rPr>
      <w:rFonts w:ascii="Segoe UI" w:eastAsia="Times New Roman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B36EE9"/>
  </w:style>
  <w:style w:type="character" w:customStyle="1" w:styleId="ListParagraphChar">
    <w:name w:val="List Paragraph Char"/>
    <w:aliases w:val="Proposal List Paragraph Char,Response Bullets Char,Bullet Two Char,Level 2 List Char,Sub bullet Char,Numbered Standard Char"/>
    <w:link w:val="ListParagraph"/>
    <w:uiPriority w:val="34"/>
    <w:locked/>
    <w:rsid w:val="001D6EF9"/>
    <w:rPr>
      <w:rFonts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D269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39B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39B1"/>
    <w:rPr>
      <w:rFonts w:eastAsia="Times New Roman" w:cs="Times New Roman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39B1"/>
    <w:rPr>
      <w:vertAlign w:val="superscript"/>
    </w:rPr>
  </w:style>
  <w:style w:type="table" w:styleId="TableGrid">
    <w:name w:val="Table Grid"/>
    <w:basedOn w:val="TableNormal"/>
    <w:uiPriority w:val="39"/>
    <w:rsid w:val="004E3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34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7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a.Moore@unitedwayr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hristine.Botts@bhddh.ri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rry.Cook@dhs.ri.go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avigant Brand">
      <a:dk1>
        <a:srgbClr val="555759"/>
      </a:dk1>
      <a:lt1>
        <a:srgbClr val="FFFFFF"/>
      </a:lt1>
      <a:dk2>
        <a:srgbClr val="648C1A"/>
      </a:dk2>
      <a:lt2>
        <a:srgbClr val="95D600"/>
      </a:lt2>
      <a:accent1>
        <a:srgbClr val="555759"/>
      </a:accent1>
      <a:accent2>
        <a:srgbClr val="FFB718"/>
      </a:accent2>
      <a:accent3>
        <a:srgbClr val="E53C2E"/>
      </a:accent3>
      <a:accent4>
        <a:srgbClr val="0093C9"/>
      </a:accent4>
      <a:accent5>
        <a:srgbClr val="8B189B"/>
      </a:accent5>
      <a:accent6>
        <a:srgbClr val="FFFFFF"/>
      </a:accent6>
      <a:hlink>
        <a:srgbClr val="0093C9"/>
      </a:hlink>
      <a:folHlink>
        <a:srgbClr val="8B189B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F8091-8E46-45F7-A4DB-0C447C728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Navigant Consulting, Inc.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NCI - Neel Patel</dc:creator>
  <cp:keywords/>
  <dc:description/>
  <cp:lastModifiedBy>Choiniere, Elaine (OHHS)</cp:lastModifiedBy>
  <cp:revision>3</cp:revision>
  <dcterms:created xsi:type="dcterms:W3CDTF">2022-01-10T17:05:00Z</dcterms:created>
  <dcterms:modified xsi:type="dcterms:W3CDTF">2022-01-11T22:01:00Z</dcterms:modified>
</cp:coreProperties>
</file>